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D4C" w:rsidRPr="00F90D4C" w:rsidRDefault="00A361DA" w:rsidP="00CC6168">
      <w:pPr>
        <w:rPr>
          <w:noProof/>
        </w:rPr>
      </w:pPr>
      <w:r>
        <w:rPr>
          <w:noProof/>
        </w:rPr>
        <w:drawing>
          <wp:anchor distT="0" distB="0" distL="114300" distR="114300" simplePos="0" relativeHeight="251657216" behindDoc="1" locked="0" layoutInCell="1" allowOverlap="1">
            <wp:simplePos x="0" y="0"/>
            <wp:positionH relativeFrom="column">
              <wp:posOffset>80645</wp:posOffset>
            </wp:positionH>
            <wp:positionV relativeFrom="paragraph">
              <wp:posOffset>-98425</wp:posOffset>
            </wp:positionV>
            <wp:extent cx="1463040" cy="1176655"/>
            <wp:effectExtent l="0" t="0" r="3810" b="4445"/>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176655"/>
                    </a:xfrm>
                    <a:prstGeom prst="rect">
                      <a:avLst/>
                    </a:prstGeom>
                    <a:noFill/>
                  </pic:spPr>
                </pic:pic>
              </a:graphicData>
            </a:graphic>
          </wp:anchor>
        </w:drawing>
      </w:r>
      <w:r w:rsidR="00CC6168">
        <w:rPr>
          <w:lang w:val="en-US"/>
        </w:rPr>
        <w:t xml:space="preserve"> </w:t>
      </w:r>
      <w:r w:rsidR="00F90D4C">
        <w:rPr>
          <w:noProof/>
        </w:rPr>
        <w:t xml:space="preserve"> </w:t>
      </w:r>
    </w:p>
    <w:tbl>
      <w:tblPr>
        <w:tblStyle w:val="af0"/>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2104CE" w:rsidRPr="002104CE" w:rsidTr="002C44F9">
        <w:trPr>
          <w:trHeight w:val="1020"/>
        </w:trPr>
        <w:tc>
          <w:tcPr>
            <w:tcW w:w="2552" w:type="dxa"/>
          </w:tcPr>
          <w:p w:rsidR="00F90D4C" w:rsidRPr="00F90D4C" w:rsidRDefault="00F90D4C" w:rsidP="00F90D4C">
            <w:pPr>
              <w:jc w:val="center"/>
              <w:rPr>
                <w:noProof/>
                <w:lang w:val="en-US"/>
              </w:rPr>
            </w:pPr>
          </w:p>
        </w:tc>
        <w:tc>
          <w:tcPr>
            <w:tcW w:w="3522" w:type="dxa"/>
          </w:tcPr>
          <w:p w:rsidR="00F90D4C" w:rsidRDefault="00F90D4C" w:rsidP="00CC6168">
            <w:pPr>
              <w:rPr>
                <w:noProof/>
              </w:rPr>
            </w:pPr>
          </w:p>
        </w:tc>
        <w:tc>
          <w:tcPr>
            <w:tcW w:w="4666" w:type="dxa"/>
          </w:tcPr>
          <w:p w:rsidR="00F90D4C" w:rsidRPr="002104CE" w:rsidRDefault="00061D0B" w:rsidP="00EC4A58">
            <w:pPr>
              <w:rPr>
                <w:noProof/>
              </w:rPr>
            </w:pPr>
            <w:r>
              <w:rPr>
                <w:noProof/>
                <w:sz w:val="16"/>
                <w:szCs w:val="16"/>
              </w:rPr>
              <w:pict>
                <v:shapetype id="_x0000_t202" coordsize="21600,21600" o:spt="202" path="m,l,21600r21600,l21600,xe">
                  <v:stroke joinstyle="miter"/>
                  <v:path gradientshapeok="t" o:connecttype="rect"/>
                </v:shapetype>
                <v:shape id="Πλαίσιο κειμένου 2" o:spid="_x0000_s1026" type="#_x0000_t202" style="position:absolute;margin-left:97.15pt;margin-top:13.6pt;width:129pt;height:24.8pt;z-index:-251658240;visibility:visible;mso-wrap-distance-top:3.6pt;mso-wrap-distance-bottom:3.6pt;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" fillcolor="#006896" strokecolor="white [3212]">
                  <v:textbox>
                    <w:txbxContent>
                      <w:p w:rsidR="00EC4A58" w:rsidRPr="00EC4A58" w:rsidRDefault="00E50643">
                        <w:pPr>
                          <w:rPr>
                            <w:b/>
                          </w:rPr>
                        </w:pPr>
                        <w:r>
                          <w:rPr>
                            <w:rFonts w:ascii="Arial" w:hAnsi="Arial" w:cs="Arial"/>
                            <w:b/>
                            <w:color w:val="FFFFFF" w:themeColor="background1"/>
                            <w:sz w:val="28"/>
                            <w:szCs w:val="28"/>
                          </w:rPr>
                          <w:t>Δελτίο Τύπου</w:t>
                        </w:r>
                      </w:p>
                    </w:txbxContent>
                  </v:textbox>
                  <w10:wrap anchorx="page"/>
                </v:shape>
              </w:pict>
            </w:r>
          </w:p>
        </w:tc>
      </w:tr>
      <w:tr w:rsidR="007A3852" w:rsidRPr="00F90D4C" w:rsidTr="002C44F9">
        <w:trPr>
          <w:trHeight w:val="60"/>
        </w:trPr>
        <w:tc>
          <w:tcPr>
            <w:tcW w:w="2552" w:type="dxa"/>
          </w:tcPr>
          <w:p w:rsidR="007A3852" w:rsidRPr="00F90D4C" w:rsidRDefault="007A3852" w:rsidP="00F90D4C">
            <w:pPr>
              <w:jc w:val="center"/>
              <w:rPr>
                <w:rFonts w:ascii="Arial" w:hAnsi="Arial" w:cs="Arial"/>
                <w:b/>
                <w:bCs/>
                <w:noProof/>
                <w:color w:val="2F5496" w:themeColor="accent1" w:themeShade="BF"/>
                <w:sz w:val="16"/>
                <w:szCs w:val="16"/>
              </w:rPr>
            </w:pPr>
          </w:p>
        </w:tc>
        <w:tc>
          <w:tcPr>
            <w:tcW w:w="3522" w:type="dxa"/>
          </w:tcPr>
          <w:p w:rsidR="007A3852" w:rsidRPr="00F90D4C" w:rsidRDefault="007A3852" w:rsidP="00CC6168">
            <w:pPr>
              <w:rPr>
                <w:noProof/>
                <w:sz w:val="16"/>
                <w:szCs w:val="16"/>
              </w:rPr>
            </w:pPr>
          </w:p>
        </w:tc>
        <w:tc>
          <w:tcPr>
            <w:tcW w:w="4666" w:type="dxa"/>
          </w:tcPr>
          <w:p w:rsidR="007A3852" w:rsidRPr="00F90D4C" w:rsidRDefault="007A3852" w:rsidP="00CC6168">
            <w:pPr>
              <w:rPr>
                <w:noProof/>
                <w:sz w:val="16"/>
                <w:szCs w:val="16"/>
              </w:rPr>
            </w:pPr>
          </w:p>
        </w:tc>
      </w:tr>
      <w:tr w:rsidR="007A3852" w:rsidRPr="00F90D4C" w:rsidTr="002C44F9">
        <w:trPr>
          <w:trHeight w:val="342"/>
        </w:trPr>
        <w:tc>
          <w:tcPr>
            <w:tcW w:w="2552" w:type="dxa"/>
          </w:tcPr>
          <w:p w:rsidR="00A361DA" w:rsidRDefault="00A361DA" w:rsidP="00F90D4C">
            <w:pPr>
              <w:jc w:val="center"/>
              <w:rPr>
                <w:rFonts w:ascii="Arial" w:hAnsi="Arial" w:cs="Arial"/>
                <w:b/>
                <w:bCs/>
                <w:noProof/>
                <w:color w:val="2F5496" w:themeColor="accent1" w:themeShade="BF"/>
                <w:sz w:val="16"/>
                <w:szCs w:val="16"/>
              </w:rPr>
            </w:pPr>
          </w:p>
          <w:p w:rsidR="00A361DA" w:rsidRDefault="00A361DA" w:rsidP="00F90D4C">
            <w:pPr>
              <w:jc w:val="center"/>
              <w:rPr>
                <w:rFonts w:ascii="Arial" w:hAnsi="Arial" w:cs="Arial"/>
                <w:b/>
                <w:bCs/>
                <w:noProof/>
                <w:color w:val="2F5496" w:themeColor="accent1" w:themeShade="BF"/>
                <w:sz w:val="16"/>
                <w:szCs w:val="16"/>
              </w:rPr>
            </w:pPr>
          </w:p>
          <w:p w:rsidR="007A3852" w:rsidRPr="00F90D4C" w:rsidRDefault="00D02354" w:rsidP="00F90D4C">
            <w:pPr>
              <w:jc w:val="center"/>
              <w:rPr>
                <w:rFonts w:ascii="Arial" w:hAnsi="Arial" w:cs="Arial"/>
                <w:b/>
                <w:bCs/>
                <w:noProof/>
                <w:color w:val="2F5496" w:themeColor="accent1" w:themeShade="BF"/>
                <w:sz w:val="16"/>
                <w:szCs w:val="16"/>
              </w:rPr>
            </w:pPr>
            <w:r w:rsidRPr="00D02354">
              <w:rPr>
                <w:rFonts w:ascii="Arial" w:hAnsi="Arial" w:cs="Arial"/>
                <w:b/>
                <w:bCs/>
                <w:noProof/>
                <w:color w:val="2F5496" w:themeColor="accent1" w:themeShade="BF"/>
                <w:sz w:val="16"/>
                <w:szCs w:val="16"/>
              </w:rPr>
              <w:drawing>
                <wp:inline distT="0" distB="0" distL="0" distR="0">
                  <wp:extent cx="851557" cy="190647"/>
                  <wp:effectExtent l="0" t="0" r="5715" b="0"/>
                  <wp:docPr id="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96DAC541-7B7A-43D3-8B79-37D633B846F1}">
                                <asvg:svgBlip xmlns:asvg="http://schemas.microsoft.com/office/drawing/2016/SVG/main" r:embed="rId10"/>
                              </a:ext>
                            </a:extLst>
                          </a:blip>
                          <a:stretch>
                            <a:fillRect/>
                          </a:stretch>
                        </pic:blipFill>
                        <pic:spPr>
                          <a:xfrm>
                            <a:off x="0" y="0"/>
                            <a:ext cx="870506" cy="194889"/>
                          </a:xfrm>
                          <a:prstGeom prst="rect">
                            <a:avLst/>
                          </a:prstGeom>
                        </pic:spPr>
                      </pic:pic>
                    </a:graphicData>
                  </a:graphic>
                </wp:inline>
              </w:drawing>
            </w:r>
          </w:p>
        </w:tc>
        <w:tc>
          <w:tcPr>
            <w:tcW w:w="3522" w:type="dxa"/>
          </w:tcPr>
          <w:p w:rsidR="007A3852" w:rsidRPr="00F90D4C" w:rsidRDefault="007A3852" w:rsidP="00CC6168">
            <w:pPr>
              <w:rPr>
                <w:noProof/>
                <w:sz w:val="16"/>
                <w:szCs w:val="16"/>
              </w:rPr>
            </w:pPr>
          </w:p>
        </w:tc>
        <w:tc>
          <w:tcPr>
            <w:tcW w:w="4666" w:type="dxa"/>
          </w:tcPr>
          <w:p w:rsidR="007A3852" w:rsidRPr="00F90D4C" w:rsidRDefault="007A3852" w:rsidP="00CC6168">
            <w:pPr>
              <w:rPr>
                <w:noProof/>
                <w:sz w:val="16"/>
                <w:szCs w:val="16"/>
              </w:rPr>
            </w:pPr>
          </w:p>
        </w:tc>
      </w:tr>
      <w:tr w:rsidR="00D02354" w:rsidRPr="00F90D4C" w:rsidTr="002C44F9">
        <w:trPr>
          <w:trHeight w:val="342"/>
        </w:trPr>
        <w:tc>
          <w:tcPr>
            <w:tcW w:w="2552" w:type="dxa"/>
          </w:tcPr>
          <w:p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Τμήμα Επικοινωνίας &amp;</w:t>
            </w:r>
          </w:p>
          <w:p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Δημοσίων Σχέσεων</w:t>
            </w:r>
          </w:p>
          <w:p w:rsidR="00D02354" w:rsidRPr="00297C02" w:rsidRDefault="00F53634" w:rsidP="00F53634">
            <w:pPr>
              <w:jc w:val="center"/>
              <w:rPr>
                <w:rFonts w:ascii="Arial" w:hAnsi="Arial" w:cs="Arial"/>
                <w:b/>
                <w:bCs/>
                <w:noProof/>
                <w:color w:val="006896"/>
                <w:sz w:val="16"/>
                <w:szCs w:val="16"/>
              </w:rPr>
            </w:pPr>
            <w:r w:rsidRPr="00F53634">
              <w:rPr>
                <w:rFonts w:ascii="Arial" w:hAnsi="Arial" w:cs="Arial"/>
                <w:b/>
                <w:bCs/>
                <w:noProof/>
                <w:color w:val="006896"/>
                <w:sz w:val="20"/>
                <w:szCs w:val="20"/>
              </w:rPr>
              <w:t xml:space="preserve">Αθήνα, </w:t>
            </w:r>
            <w:r w:rsidR="00A42623" w:rsidRPr="00297C02">
              <w:rPr>
                <w:rFonts w:ascii="Arial" w:hAnsi="Arial" w:cs="Arial"/>
                <w:b/>
                <w:bCs/>
                <w:noProof/>
                <w:color w:val="006896"/>
                <w:sz w:val="20"/>
                <w:szCs w:val="20"/>
              </w:rPr>
              <w:t>0</w:t>
            </w:r>
            <w:r w:rsidR="002934D3">
              <w:rPr>
                <w:rFonts w:ascii="Arial" w:hAnsi="Arial" w:cs="Arial"/>
                <w:b/>
                <w:bCs/>
                <w:noProof/>
                <w:color w:val="006896"/>
                <w:sz w:val="20"/>
                <w:szCs w:val="20"/>
              </w:rPr>
              <w:t>6</w:t>
            </w:r>
            <w:r w:rsidRPr="00F53634">
              <w:rPr>
                <w:rFonts w:ascii="Arial" w:hAnsi="Arial" w:cs="Arial"/>
                <w:b/>
                <w:bCs/>
                <w:noProof/>
                <w:color w:val="006896"/>
                <w:sz w:val="20"/>
                <w:szCs w:val="20"/>
              </w:rPr>
              <w:t>.0</w:t>
            </w:r>
            <w:r w:rsidR="002934D3">
              <w:rPr>
                <w:rFonts w:ascii="Arial" w:hAnsi="Arial" w:cs="Arial"/>
                <w:b/>
                <w:bCs/>
                <w:noProof/>
                <w:color w:val="006896"/>
                <w:sz w:val="20"/>
                <w:szCs w:val="20"/>
              </w:rPr>
              <w:t>6</w:t>
            </w:r>
            <w:r w:rsidRPr="00F53634">
              <w:rPr>
                <w:rFonts w:ascii="Arial" w:hAnsi="Arial" w:cs="Arial"/>
                <w:b/>
                <w:bCs/>
                <w:noProof/>
                <w:color w:val="006896"/>
                <w:sz w:val="20"/>
                <w:szCs w:val="20"/>
              </w:rPr>
              <w:t>.202</w:t>
            </w:r>
            <w:r w:rsidR="00A42623" w:rsidRPr="00297C02">
              <w:rPr>
                <w:rFonts w:ascii="Arial" w:hAnsi="Arial" w:cs="Arial"/>
                <w:b/>
                <w:bCs/>
                <w:noProof/>
                <w:color w:val="006896"/>
                <w:sz w:val="20"/>
                <w:szCs w:val="20"/>
              </w:rPr>
              <w:t>4</w:t>
            </w:r>
          </w:p>
        </w:tc>
        <w:tc>
          <w:tcPr>
            <w:tcW w:w="3522" w:type="dxa"/>
          </w:tcPr>
          <w:p w:rsidR="00D02354" w:rsidRPr="00F90D4C" w:rsidRDefault="00D02354" w:rsidP="00CC6168">
            <w:pPr>
              <w:rPr>
                <w:noProof/>
                <w:sz w:val="16"/>
                <w:szCs w:val="16"/>
              </w:rPr>
            </w:pPr>
          </w:p>
        </w:tc>
        <w:tc>
          <w:tcPr>
            <w:tcW w:w="4666" w:type="dxa"/>
          </w:tcPr>
          <w:p w:rsidR="00D02354" w:rsidRPr="00F90D4C" w:rsidRDefault="00D02354" w:rsidP="00CC6168">
            <w:pPr>
              <w:rPr>
                <w:noProof/>
                <w:sz w:val="16"/>
                <w:szCs w:val="16"/>
              </w:rPr>
            </w:pPr>
          </w:p>
        </w:tc>
      </w:tr>
    </w:tbl>
    <w:p w:rsidR="00711D2A" w:rsidRDefault="00711D2A" w:rsidP="00A361DA">
      <w:pPr>
        <w:ind w:right="283"/>
        <w:jc w:val="both"/>
        <w:rPr>
          <w:sz w:val="16"/>
          <w:szCs w:val="16"/>
        </w:rPr>
      </w:pPr>
    </w:p>
    <w:p w:rsidR="00967EA2" w:rsidRPr="00536D0F" w:rsidRDefault="00967EA2" w:rsidP="00967EA2">
      <w:pPr>
        <w:jc w:val="both"/>
        <w:rPr>
          <w:rFonts w:cstheme="minorHAnsi"/>
          <w:sz w:val="28"/>
          <w:szCs w:val="28"/>
        </w:rPr>
      </w:pPr>
      <w:r w:rsidRPr="00536D0F">
        <w:rPr>
          <w:rFonts w:cstheme="minorHAnsi"/>
          <w:sz w:val="28"/>
          <w:szCs w:val="28"/>
        </w:rPr>
        <w:t> </w:t>
      </w:r>
    </w:p>
    <w:p w:rsidR="00967EA2" w:rsidRDefault="00967EA2" w:rsidP="00967EA2">
      <w:pPr>
        <w:jc w:val="center"/>
        <w:rPr>
          <w:rFonts w:cstheme="minorHAnsi"/>
          <w:b/>
          <w:bCs/>
          <w:sz w:val="28"/>
          <w:szCs w:val="28"/>
        </w:rPr>
      </w:pPr>
    </w:p>
    <w:p w:rsidR="00967EA2" w:rsidRPr="00536D0F" w:rsidRDefault="00967EA2" w:rsidP="00967EA2">
      <w:pPr>
        <w:jc w:val="center"/>
        <w:rPr>
          <w:rFonts w:cstheme="minorHAnsi"/>
          <w:b/>
          <w:bCs/>
          <w:sz w:val="28"/>
          <w:szCs w:val="28"/>
        </w:rPr>
      </w:pPr>
      <w:r w:rsidRPr="00536D0F">
        <w:rPr>
          <w:rFonts w:cstheme="minorHAnsi"/>
          <w:b/>
          <w:bCs/>
          <w:sz w:val="28"/>
          <w:szCs w:val="28"/>
        </w:rPr>
        <w:t>Δόμνα Μιχαηλίδου: «Χρηματοδοτούμε με 200 εκατ. ευρώ</w:t>
      </w:r>
    </w:p>
    <w:p w:rsidR="00967EA2" w:rsidRPr="00536D0F" w:rsidRDefault="00967EA2" w:rsidP="00967EA2">
      <w:pPr>
        <w:jc w:val="center"/>
        <w:rPr>
          <w:rFonts w:cstheme="minorHAnsi"/>
          <w:b/>
          <w:bCs/>
          <w:sz w:val="28"/>
          <w:szCs w:val="28"/>
        </w:rPr>
      </w:pPr>
      <w:r w:rsidRPr="00536D0F">
        <w:rPr>
          <w:rFonts w:cstheme="minorHAnsi"/>
          <w:b/>
          <w:bCs/>
          <w:sz w:val="28"/>
          <w:szCs w:val="28"/>
        </w:rPr>
        <w:t>τον μισθό 25.000 νέων στις πρώτες τους δουλειές»</w:t>
      </w:r>
    </w:p>
    <w:p w:rsidR="00967EA2" w:rsidRPr="00536D0F" w:rsidRDefault="00967EA2" w:rsidP="00967EA2">
      <w:pPr>
        <w:jc w:val="both"/>
        <w:rPr>
          <w:rFonts w:cstheme="minorHAnsi"/>
          <w:sz w:val="28"/>
          <w:szCs w:val="28"/>
        </w:rPr>
      </w:pPr>
    </w:p>
    <w:p w:rsidR="00967EA2" w:rsidRDefault="00967EA2" w:rsidP="00967EA2">
      <w:pPr>
        <w:jc w:val="both"/>
        <w:rPr>
          <w:rFonts w:cstheme="minorHAnsi"/>
          <w:sz w:val="28"/>
          <w:szCs w:val="28"/>
        </w:rPr>
      </w:pPr>
    </w:p>
    <w:p w:rsidR="00967EA2" w:rsidRPr="00536D0F" w:rsidRDefault="00967EA2" w:rsidP="00967EA2">
      <w:pPr>
        <w:jc w:val="both"/>
        <w:rPr>
          <w:rFonts w:cstheme="minorHAnsi"/>
          <w:sz w:val="28"/>
          <w:szCs w:val="28"/>
        </w:rPr>
      </w:pPr>
      <w:r w:rsidRPr="00536D0F">
        <w:rPr>
          <w:rFonts w:cstheme="minorHAnsi"/>
          <w:sz w:val="28"/>
          <w:szCs w:val="28"/>
        </w:rPr>
        <w:t xml:space="preserve">«Σήμερα </w:t>
      </w:r>
      <w:r>
        <w:rPr>
          <w:rFonts w:cstheme="minorHAnsi"/>
          <w:sz w:val="28"/>
          <w:szCs w:val="28"/>
        </w:rPr>
        <w:t>είναι μια μεγάλη ημέρα για το Υπουργείο Εργασίας. Με 200 εκατ. ευρώ χρηματοδοτούμε</w:t>
      </w:r>
      <w:r w:rsidRPr="001464FB">
        <w:rPr>
          <w:rFonts w:cstheme="minorHAnsi"/>
          <w:sz w:val="28"/>
          <w:szCs w:val="28"/>
        </w:rPr>
        <w:t xml:space="preserve"> </w:t>
      </w:r>
      <w:r>
        <w:rPr>
          <w:rFonts w:cstheme="minorHAnsi"/>
          <w:sz w:val="28"/>
          <w:szCs w:val="28"/>
        </w:rPr>
        <w:t>τον μισθό</w:t>
      </w:r>
      <w:r w:rsidRPr="00536D0F">
        <w:rPr>
          <w:rFonts w:cstheme="minorHAnsi"/>
          <w:sz w:val="28"/>
          <w:szCs w:val="28"/>
        </w:rPr>
        <w:t xml:space="preserve"> 25.000</w:t>
      </w:r>
      <w:r>
        <w:rPr>
          <w:rFonts w:cstheme="minorHAnsi"/>
          <w:sz w:val="28"/>
          <w:szCs w:val="28"/>
        </w:rPr>
        <w:t xml:space="preserve"> νέων, στις πρώτες τους δουλειές. Με το </w:t>
      </w:r>
      <w:r w:rsidRPr="00E3046D">
        <w:rPr>
          <w:rFonts w:cstheme="minorHAnsi"/>
          <w:sz w:val="28"/>
          <w:szCs w:val="28"/>
        </w:rPr>
        <w:t>Πρόγραμμ</w:t>
      </w:r>
      <w:r>
        <w:rPr>
          <w:rFonts w:cstheme="minorHAnsi"/>
          <w:sz w:val="28"/>
          <w:szCs w:val="28"/>
        </w:rPr>
        <w:t xml:space="preserve">α Προεργασία νέοι έως </w:t>
      </w:r>
      <w:r w:rsidRPr="001464FB">
        <w:rPr>
          <w:rFonts w:cstheme="minorHAnsi"/>
          <w:sz w:val="28"/>
          <w:szCs w:val="28"/>
        </w:rPr>
        <w:t>29 ετών</w:t>
      </w:r>
      <w:r>
        <w:rPr>
          <w:rFonts w:cstheme="minorHAnsi"/>
          <w:sz w:val="28"/>
          <w:szCs w:val="28"/>
        </w:rPr>
        <w:t xml:space="preserve"> θα </w:t>
      </w:r>
      <w:r w:rsidRPr="00E3046D">
        <w:rPr>
          <w:rFonts w:cstheme="minorHAnsi"/>
          <w:sz w:val="28"/>
          <w:szCs w:val="28"/>
        </w:rPr>
        <w:t xml:space="preserve">βρουν δουλειά και </w:t>
      </w:r>
      <w:r>
        <w:rPr>
          <w:rFonts w:cstheme="minorHAnsi"/>
          <w:sz w:val="28"/>
          <w:szCs w:val="28"/>
        </w:rPr>
        <w:t xml:space="preserve">θα </w:t>
      </w:r>
      <w:r w:rsidRPr="001464FB">
        <w:rPr>
          <w:rFonts w:cstheme="minorHAnsi"/>
          <w:sz w:val="28"/>
          <w:szCs w:val="28"/>
        </w:rPr>
        <w:t>αποκτήσουν πολύτιμη επαγγελματική προϋπηρεσία</w:t>
      </w:r>
      <w:r>
        <w:rPr>
          <w:rFonts w:cstheme="minorHAnsi"/>
          <w:sz w:val="28"/>
          <w:szCs w:val="28"/>
        </w:rPr>
        <w:t xml:space="preserve">. Η </w:t>
      </w:r>
      <w:r w:rsidRPr="001464FB">
        <w:rPr>
          <w:rFonts w:cstheme="minorHAnsi"/>
          <w:sz w:val="28"/>
          <w:szCs w:val="28"/>
        </w:rPr>
        <w:t>ενίσχυση της απασχόλησης των νέων αποτελεί</w:t>
      </w:r>
      <w:r w:rsidRPr="00E3046D">
        <w:rPr>
          <w:rFonts w:cstheme="minorHAnsi"/>
          <w:sz w:val="28"/>
          <w:szCs w:val="28"/>
        </w:rPr>
        <w:t xml:space="preserve"> </w:t>
      </w:r>
      <w:r w:rsidRPr="001464FB">
        <w:rPr>
          <w:rFonts w:cstheme="minorHAnsi"/>
          <w:sz w:val="28"/>
          <w:szCs w:val="28"/>
        </w:rPr>
        <w:t xml:space="preserve">πρωταρχικό </w:t>
      </w:r>
      <w:r w:rsidRPr="00E3046D">
        <w:rPr>
          <w:rFonts w:cstheme="minorHAnsi"/>
          <w:sz w:val="28"/>
          <w:szCs w:val="28"/>
        </w:rPr>
        <w:t xml:space="preserve">μας </w:t>
      </w:r>
      <w:r w:rsidRPr="001464FB">
        <w:rPr>
          <w:rFonts w:cstheme="minorHAnsi"/>
          <w:sz w:val="28"/>
          <w:szCs w:val="28"/>
        </w:rPr>
        <w:t>στόχο</w:t>
      </w:r>
      <w:r>
        <w:rPr>
          <w:rFonts w:cstheme="minorHAnsi"/>
          <w:sz w:val="28"/>
          <w:szCs w:val="28"/>
        </w:rPr>
        <w:t>»</w:t>
      </w:r>
      <w:r w:rsidRPr="00E3046D">
        <w:rPr>
          <w:rFonts w:cstheme="minorHAnsi"/>
          <w:sz w:val="28"/>
          <w:szCs w:val="28"/>
        </w:rPr>
        <w:t xml:space="preserve">. </w:t>
      </w:r>
      <w:r w:rsidRPr="00536D0F">
        <w:rPr>
          <w:rFonts w:cstheme="minorHAnsi"/>
          <w:sz w:val="28"/>
          <w:szCs w:val="28"/>
        </w:rPr>
        <w:t xml:space="preserve">Αυτό δήλωσε η Υπουργός Εργασίας και Κοινωνικής Ασφάλισης, Δόμνα Μιχαηλίδου, που βρέθηκε το μεσημέρι της Πέμπτης σε επιχείρηση που έχει αξιοποιήσει προγράμματα της ΔΥΠΑ. </w:t>
      </w:r>
    </w:p>
    <w:p w:rsidR="00967EA2" w:rsidRDefault="00967EA2" w:rsidP="00967EA2">
      <w:pPr>
        <w:jc w:val="both"/>
        <w:rPr>
          <w:rFonts w:cstheme="minorHAnsi"/>
          <w:sz w:val="28"/>
          <w:szCs w:val="28"/>
        </w:rPr>
      </w:pPr>
    </w:p>
    <w:p w:rsidR="00967EA2" w:rsidRPr="00536D0F" w:rsidRDefault="00967EA2" w:rsidP="00967EA2">
      <w:pPr>
        <w:jc w:val="both"/>
        <w:rPr>
          <w:rFonts w:cstheme="minorHAnsi"/>
          <w:sz w:val="28"/>
          <w:szCs w:val="28"/>
        </w:rPr>
      </w:pPr>
      <w:r>
        <w:rPr>
          <w:rFonts w:cstheme="minorHAnsi"/>
          <w:sz w:val="28"/>
          <w:szCs w:val="28"/>
        </w:rPr>
        <w:t>«Οι δράσεις μας και οι πολιτικές που υλοποιούμε δεν περιορίζονται μόνο στους νέους</w:t>
      </w:r>
      <w:r w:rsidRPr="00536D0F">
        <w:rPr>
          <w:rFonts w:cstheme="minorHAnsi"/>
          <w:sz w:val="28"/>
          <w:szCs w:val="28"/>
        </w:rPr>
        <w:t xml:space="preserve">. Με </w:t>
      </w:r>
      <w:proofErr w:type="spellStart"/>
      <w:r w:rsidRPr="00536D0F">
        <w:rPr>
          <w:rFonts w:cstheme="minorHAnsi"/>
          <w:sz w:val="28"/>
          <w:szCs w:val="28"/>
        </w:rPr>
        <w:t>στοχευμένα</w:t>
      </w:r>
      <w:proofErr w:type="spellEnd"/>
      <w:r w:rsidRPr="00536D0F">
        <w:rPr>
          <w:rFonts w:cstheme="minorHAnsi"/>
          <w:sz w:val="28"/>
          <w:szCs w:val="28"/>
        </w:rPr>
        <w:t xml:space="preserve"> προγράμματα</w:t>
      </w:r>
      <w:r>
        <w:rPr>
          <w:rFonts w:cstheme="minorHAnsi"/>
          <w:sz w:val="28"/>
          <w:szCs w:val="28"/>
        </w:rPr>
        <w:t>», είπε η Υπουργός Εργασίας και Κοινωνικής Ασφάλισης</w:t>
      </w:r>
      <w:r w:rsidRPr="00536D0F">
        <w:rPr>
          <w:rFonts w:cstheme="minorHAnsi"/>
          <w:sz w:val="28"/>
          <w:szCs w:val="28"/>
        </w:rPr>
        <w:t xml:space="preserve">, </w:t>
      </w:r>
      <w:r>
        <w:rPr>
          <w:rFonts w:cstheme="minorHAnsi"/>
          <w:sz w:val="28"/>
          <w:szCs w:val="28"/>
        </w:rPr>
        <w:t>«</w:t>
      </w:r>
      <w:r w:rsidRPr="00536D0F">
        <w:rPr>
          <w:rFonts w:cstheme="minorHAnsi"/>
          <w:sz w:val="28"/>
          <w:szCs w:val="28"/>
        </w:rPr>
        <w:t xml:space="preserve">κάνουμε ορατούς στην αγορά εργασίας χιλιάδες συμπολίτες μας με την ένταξη και επανένταξη των γυναικών, των ευάλωτων ομάδων, των μεγαλύτερων σε ηλικία συμπολιτών μας, ιδιαίτερα της ηλικιακής ομάδας 55-67 ετών. Ορατοί έγιναν και οι 100.000 και πλέον εργαζόμενοι – συνταξιούχοι που αξιοποίησαν τη δυνατότητα που τους παρέχουμε να λαμβάνουν στο ακέραιο τη σύνταξή τους».  </w:t>
      </w:r>
    </w:p>
    <w:p w:rsidR="00967EA2" w:rsidRPr="00536D0F" w:rsidRDefault="00967EA2" w:rsidP="00967EA2">
      <w:pPr>
        <w:jc w:val="both"/>
        <w:rPr>
          <w:rFonts w:cstheme="minorHAnsi"/>
          <w:sz w:val="28"/>
          <w:szCs w:val="28"/>
        </w:rPr>
      </w:pPr>
    </w:p>
    <w:p w:rsidR="00967EA2" w:rsidRPr="00536D0F" w:rsidRDefault="00967EA2" w:rsidP="00967EA2">
      <w:pPr>
        <w:jc w:val="both"/>
        <w:rPr>
          <w:rFonts w:cstheme="minorHAnsi"/>
          <w:sz w:val="28"/>
          <w:szCs w:val="28"/>
        </w:rPr>
      </w:pPr>
      <w:r w:rsidRPr="00536D0F">
        <w:rPr>
          <w:rFonts w:cstheme="minorHAnsi"/>
          <w:sz w:val="28"/>
          <w:szCs w:val="28"/>
        </w:rPr>
        <w:t>Μιλώντας για το πρόγραμμα επαγγελματικής αποκατάστασης 25.000 νέων ηλικίας έως 29 ετών, η Δόμνα Μιχαηλίδου, είπε: «Αποτελεί την απάντησή μας στις ανάγκες της αγοράς εργασίας</w:t>
      </w:r>
      <w:r>
        <w:rPr>
          <w:rFonts w:cstheme="minorHAnsi"/>
          <w:sz w:val="28"/>
          <w:szCs w:val="28"/>
        </w:rPr>
        <w:t xml:space="preserve"> και έμπρακτη στήριξη στους νέους που βρίσκονται </w:t>
      </w:r>
      <w:r w:rsidRPr="00617509">
        <w:rPr>
          <w:rFonts w:cstheme="minorHAnsi"/>
          <w:sz w:val="28"/>
          <w:szCs w:val="28"/>
        </w:rPr>
        <w:t>εκτός εκπαίδευσης, απασχόλησης και κατάρτισης</w:t>
      </w:r>
      <w:r>
        <w:rPr>
          <w:rFonts w:cstheme="minorHAnsi"/>
          <w:sz w:val="28"/>
          <w:szCs w:val="28"/>
        </w:rPr>
        <w:t xml:space="preserve"> (</w:t>
      </w:r>
      <w:proofErr w:type="spellStart"/>
      <w:r w:rsidRPr="00536D0F">
        <w:rPr>
          <w:rFonts w:cstheme="minorHAnsi"/>
          <w:sz w:val="28"/>
          <w:szCs w:val="28"/>
        </w:rPr>
        <w:t>NEETs</w:t>
      </w:r>
      <w:proofErr w:type="spellEnd"/>
      <w:r>
        <w:rPr>
          <w:rFonts w:cstheme="minorHAnsi"/>
          <w:sz w:val="28"/>
          <w:szCs w:val="28"/>
        </w:rPr>
        <w:t xml:space="preserve">). Μια ομάδα </w:t>
      </w:r>
      <w:r w:rsidRPr="00536D0F">
        <w:rPr>
          <w:rFonts w:cstheme="minorHAnsi"/>
          <w:sz w:val="28"/>
          <w:szCs w:val="28"/>
        </w:rPr>
        <w:t xml:space="preserve">που είναι αναλογικά </w:t>
      </w:r>
      <w:r>
        <w:rPr>
          <w:rFonts w:cstheme="minorHAnsi"/>
          <w:sz w:val="28"/>
          <w:szCs w:val="28"/>
        </w:rPr>
        <w:t>μεγαλύτερη</w:t>
      </w:r>
      <w:r w:rsidRPr="00536D0F">
        <w:rPr>
          <w:rFonts w:cstheme="minorHAnsi"/>
          <w:sz w:val="28"/>
          <w:szCs w:val="28"/>
        </w:rPr>
        <w:t xml:space="preserve"> στην Ελλάδα σε σχέση με άλλες ευρωπαϊκές χώρες.</w:t>
      </w:r>
      <w:r>
        <w:rPr>
          <w:rFonts w:cstheme="minorHAnsi"/>
          <w:sz w:val="28"/>
          <w:szCs w:val="28"/>
        </w:rPr>
        <w:t xml:space="preserve"> Αυτό το χάσμα θα το γεφυρώσουμε, γ</w:t>
      </w:r>
      <w:r w:rsidRPr="00536D0F">
        <w:rPr>
          <w:rFonts w:cstheme="minorHAnsi"/>
          <w:sz w:val="28"/>
          <w:szCs w:val="28"/>
        </w:rPr>
        <w:t xml:space="preserve">ι’ αυτό φέτος αποφασίσαμε να αυξήσουμε κατά 10.000 τους ωφελούμενους, να </w:t>
      </w:r>
      <w:r w:rsidRPr="00536D0F">
        <w:rPr>
          <w:rFonts w:cstheme="minorHAnsi"/>
          <w:sz w:val="28"/>
          <w:szCs w:val="28"/>
        </w:rPr>
        <w:lastRenderedPageBreak/>
        <w:t xml:space="preserve">διπλασιάσουμε τον προϋπολογισμό και να απευθυνθούμε στις ιδιωτικές επιχειρήσεις όλης της χώρας». </w:t>
      </w:r>
    </w:p>
    <w:p w:rsidR="00967EA2" w:rsidRPr="00536D0F" w:rsidRDefault="00967EA2" w:rsidP="00967EA2">
      <w:pPr>
        <w:jc w:val="both"/>
        <w:rPr>
          <w:rFonts w:cstheme="minorHAnsi"/>
          <w:sz w:val="28"/>
          <w:szCs w:val="28"/>
        </w:rPr>
      </w:pPr>
    </w:p>
    <w:p w:rsidR="00967EA2" w:rsidRDefault="00967EA2" w:rsidP="00967EA2">
      <w:pPr>
        <w:jc w:val="both"/>
        <w:rPr>
          <w:rFonts w:cstheme="minorHAnsi"/>
          <w:sz w:val="28"/>
          <w:szCs w:val="28"/>
        </w:rPr>
      </w:pPr>
      <w:r w:rsidRPr="00536D0F">
        <w:rPr>
          <w:rFonts w:cstheme="minorHAnsi"/>
          <w:sz w:val="28"/>
          <w:szCs w:val="28"/>
        </w:rPr>
        <w:t xml:space="preserve">«Οι επιχειρήσεις με μηδενικό κόστος», ανέφερε η Υπουργός Εργασίας και Κοινωνικής Ασφάλισης, «μπορούν να απορροφήσουν έως 20 ανέργους. Βασική προϋπόθεση φυσικά είναι να μην έχουν προβεί σε μείωση του προσωπικού το τελευταίο τρίμηνο πριν την υποβολή των αιτήσεων». </w:t>
      </w:r>
    </w:p>
    <w:p w:rsidR="00F816D8" w:rsidRDefault="00F816D8" w:rsidP="00967EA2">
      <w:pPr>
        <w:jc w:val="both"/>
        <w:rPr>
          <w:rFonts w:cstheme="minorHAnsi"/>
          <w:sz w:val="28"/>
          <w:szCs w:val="28"/>
        </w:rPr>
      </w:pPr>
    </w:p>
    <w:p w:rsidR="00F816D8" w:rsidRPr="00F816D8" w:rsidRDefault="00F816D8" w:rsidP="00F816D8">
      <w:pPr>
        <w:jc w:val="both"/>
        <w:rPr>
          <w:rFonts w:cstheme="minorHAnsi"/>
          <w:sz w:val="28"/>
          <w:szCs w:val="28"/>
        </w:rPr>
      </w:pPr>
      <w:r w:rsidRPr="00F816D8">
        <w:rPr>
          <w:rFonts w:cstheme="minorHAnsi"/>
          <w:sz w:val="28"/>
          <w:szCs w:val="28"/>
        </w:rPr>
        <w:t xml:space="preserve">Η Υπουργός Εργασίας και Κοινωνικής Ασφάλισης ανακοίνωσε τη νέα πρωτοβουλία στο πλαίσιο συνάντησης που είχε, μαζί́ με τον Διοικητή́ της ΔΥΠΑ Σπύρο Πρωτοψάλτη, με ωφελούμενη του  προγράμματος προεργασίας και με εκπροσώπους της εταιρείας που έχει αξιοποιήσει τα προγράμματα. Στην επιχείρηση απόκτησαν επαγγελματική εμπειρία μέσω του προγράμματος της ΔΥΠΑ 5 ωφελούμενοι.  </w:t>
      </w:r>
    </w:p>
    <w:p w:rsidR="00F816D8" w:rsidRPr="00F816D8" w:rsidRDefault="00F816D8" w:rsidP="00F816D8">
      <w:pPr>
        <w:jc w:val="both"/>
        <w:rPr>
          <w:rFonts w:cstheme="minorHAnsi"/>
          <w:sz w:val="28"/>
          <w:szCs w:val="28"/>
        </w:rPr>
      </w:pPr>
    </w:p>
    <w:p w:rsidR="00F816D8" w:rsidRPr="00F816D8" w:rsidRDefault="00F816D8" w:rsidP="00F816D8">
      <w:pPr>
        <w:jc w:val="both"/>
        <w:rPr>
          <w:rFonts w:cstheme="minorHAnsi"/>
          <w:sz w:val="28"/>
          <w:szCs w:val="28"/>
        </w:rPr>
      </w:pPr>
      <w:r w:rsidRPr="00F816D8">
        <w:rPr>
          <w:rFonts w:cstheme="minorHAnsi"/>
          <w:sz w:val="28"/>
          <w:szCs w:val="28"/>
        </w:rPr>
        <w:t>Η Ευτυχία Μ. προσελήφθη με το προηγούμενο πρόγραμμα Προεργασία και μετά την ολοκλήρωσή του συνεχίζει να εργάζεται στην επιχείρηση με σύμβαση έως τον Ιούλιο. Η Κωνσταντίνα Ι. ήταν ωφελούμενη προγράμματος προεργασίας της ΔΥΠΑ σε άλλη εταιρεία και από την 1η Φεβρουαρίου εργάζεται στην επιχείρηση. Ακόμη τέσσερις ωφελούμενοι του προηγούμενου προγράμματος απέκτησαν προϋπηρεσία στη συγκεκριμένη επιχείρηση και οι τρεις από αυτούς συνεχίζουν την επαγγελματική τους πορεία σε άλλη εταιρεία.</w:t>
      </w:r>
    </w:p>
    <w:p w:rsidR="00967EA2" w:rsidRPr="00536D0F" w:rsidRDefault="00967EA2" w:rsidP="00967EA2">
      <w:pPr>
        <w:jc w:val="both"/>
        <w:rPr>
          <w:rFonts w:cstheme="minorHAnsi"/>
          <w:sz w:val="28"/>
          <w:szCs w:val="28"/>
        </w:rPr>
      </w:pPr>
      <w:bookmarkStart w:id="0" w:name="_GoBack"/>
      <w:bookmarkEnd w:id="0"/>
    </w:p>
    <w:p w:rsidR="00967EA2" w:rsidRPr="00536D0F" w:rsidRDefault="00967EA2" w:rsidP="00967EA2">
      <w:pPr>
        <w:jc w:val="both"/>
        <w:rPr>
          <w:rFonts w:cstheme="minorHAnsi"/>
          <w:sz w:val="28"/>
          <w:szCs w:val="28"/>
        </w:rPr>
      </w:pPr>
      <w:r w:rsidRPr="00536D0F">
        <w:rPr>
          <w:rFonts w:cstheme="minorHAnsi"/>
          <w:bCs/>
          <w:sz w:val="28"/>
          <w:szCs w:val="28"/>
        </w:rPr>
        <w:t>Σε δηλώσεις του ο Διοικητής της ΔΥΠΑ Σπύρος Πρωτοψάλτης, είπε: «Δεν είναι</w:t>
      </w:r>
      <w:r w:rsidRPr="00536D0F">
        <w:rPr>
          <w:rFonts w:cstheme="minorHAnsi"/>
          <w:sz w:val="28"/>
          <w:szCs w:val="28"/>
        </w:rPr>
        <w:t xml:space="preserve"> τυχαίο ότι η πρώτη δράση του νέου ΕΣΠΑ στοχεύει στην ενίσχυση της απασχόλησης των νέων. Όπως όλα τα προγράμματα νέας γενιάς που υλοποιούμε τα τελευταία χρόνια, σχεδιάστηκε με γνώμονα την προώθηση στην απασχόληση για όσους αντιμετωπίζουν σημαντικά εμπόδια ένταξης στην αγορά εργασίας, με προτεραιότητα στους νέους. Η νέα αυτή δράση δίνει τη  δυνατότητα σε νέους έως 29 ετών, που δεν έχουν προϋπηρεσία, να αποκτήσουν πολύτιμη επαγγελματική εμπειρία. Μέχρι σήμερα, έχουμε υλοποιήσει 4 αντίστοιχα προγράμματα με μεγάλη επιτυχία  μέσω των οποίων περισσότεροι από 33.000 άνεργοι νέοι είχαν την ευκαιρία να ανταποκριθούν σε αντίστοιχες ανάγκες των επιχειρήσεων. Συνεχίζουμε μεθοδικά τις παρεμβάσεις μας, ώστε να διευκολύνουμε τους νέους να βρίσκουν ποιοτικές δουλειές και να σχεδιάζουν την επαγγελματική πορεία που οραματίζονται και παράλληλα, στηρίζουμε τις επιχειρήσεις που χρειάζονται νέο, καταρτισμένο ανθρώπινο δυναμικό. Παραμένει σταθερή μας προτεραιότητα η υλοποίηση αποτελεσματικών ενεργητικών πολιτικών απασχόλησης».</w:t>
      </w:r>
    </w:p>
    <w:p w:rsidR="00967EA2" w:rsidRPr="00536D0F" w:rsidRDefault="00967EA2" w:rsidP="00967EA2">
      <w:pPr>
        <w:jc w:val="both"/>
        <w:rPr>
          <w:rFonts w:cstheme="minorHAnsi"/>
          <w:sz w:val="28"/>
          <w:szCs w:val="28"/>
        </w:rPr>
      </w:pPr>
    </w:p>
    <w:p w:rsidR="00967EA2" w:rsidRPr="00536D0F" w:rsidRDefault="00967EA2" w:rsidP="00967EA2">
      <w:pPr>
        <w:jc w:val="both"/>
      </w:pPr>
      <w:r w:rsidRPr="00536D0F">
        <w:rPr>
          <w:rFonts w:cstheme="minorHAnsi"/>
          <w:sz w:val="28"/>
          <w:szCs w:val="28"/>
        </w:rPr>
        <w:t xml:space="preserve">Οι αιτήσεις των επιχειρήσεων για το νέο «Πρόγραμμα Απόκτησης Επαγγελματικής Εμπειρίας για άνεργους νέους 18-29 ετών», ξεκινούν αύριο, </w:t>
      </w:r>
      <w:r w:rsidRPr="00536D0F">
        <w:rPr>
          <w:rFonts w:cstheme="minorHAnsi"/>
          <w:sz w:val="28"/>
          <w:szCs w:val="28"/>
        </w:rPr>
        <w:lastRenderedPageBreak/>
        <w:t xml:space="preserve">Παρασκευή 7 Ιουνίου </w:t>
      </w:r>
      <w:r>
        <w:rPr>
          <w:rFonts w:cstheme="minorHAnsi"/>
          <w:sz w:val="28"/>
          <w:szCs w:val="28"/>
        </w:rPr>
        <w:t xml:space="preserve">στις </w:t>
      </w:r>
      <w:r w:rsidRPr="00536D0F">
        <w:rPr>
          <w:rFonts w:cstheme="minorHAnsi"/>
          <w:sz w:val="28"/>
          <w:szCs w:val="28"/>
        </w:rPr>
        <w:t>11:00 π.μ. Ωφελούμενοι είναι 25.000 εγγεγραμμένοι άνεργοι 18-29 ετών, απόφοιτοι τουλάχιστον υποχρεωτικής εκπαίδευσης, που δεν συμμετέχουν σε πρόγραμμα εκπαίδευσης ή κατάρτισης, ούτε απασχολούνται. Το πρόγραμμα έχει διάρκεια 7 μήνες και η ΔΥΠΑ θα καταβάλλει στους ωφελούμενους μηνιαία αποζημίωση ίση με τον νόμιμο κατώτατο μισθό (με πλήρεις ασφαλιστικές εισφορές), αναλογία δώρων εορτών</w:t>
      </w:r>
      <w:r>
        <w:rPr>
          <w:rFonts w:cstheme="minorHAnsi"/>
          <w:sz w:val="28"/>
          <w:szCs w:val="28"/>
        </w:rPr>
        <w:t xml:space="preserve">, </w:t>
      </w:r>
      <w:r w:rsidRPr="00536D0F">
        <w:rPr>
          <w:rFonts w:cstheme="minorHAnsi"/>
          <w:sz w:val="28"/>
          <w:szCs w:val="28"/>
        </w:rPr>
        <w:t>επιδόματος αδείας</w:t>
      </w:r>
      <w:r>
        <w:rPr>
          <w:rFonts w:cstheme="minorHAnsi"/>
          <w:sz w:val="28"/>
          <w:szCs w:val="28"/>
        </w:rPr>
        <w:t xml:space="preserve"> ενώ οι </w:t>
      </w:r>
      <w:r w:rsidRPr="00536D0F">
        <w:rPr>
          <w:rFonts w:cstheme="minorHAnsi"/>
          <w:sz w:val="28"/>
          <w:szCs w:val="28"/>
        </w:rPr>
        <w:t xml:space="preserve">ωφελούμενοι </w:t>
      </w:r>
      <w:r>
        <w:rPr>
          <w:rFonts w:cstheme="minorHAnsi"/>
          <w:sz w:val="28"/>
          <w:szCs w:val="28"/>
        </w:rPr>
        <w:t xml:space="preserve">θα έχουν πλήρη την </w:t>
      </w:r>
      <w:r w:rsidRPr="00536D0F">
        <w:rPr>
          <w:rFonts w:cstheme="minorHAnsi"/>
          <w:sz w:val="28"/>
          <w:szCs w:val="28"/>
        </w:rPr>
        <w:t>ιατροφαρμακευτική</w:t>
      </w:r>
      <w:r>
        <w:rPr>
          <w:rFonts w:cstheme="minorHAnsi"/>
          <w:sz w:val="28"/>
          <w:szCs w:val="28"/>
        </w:rPr>
        <w:t xml:space="preserve"> </w:t>
      </w:r>
      <w:r w:rsidRPr="00536D0F">
        <w:rPr>
          <w:rFonts w:cstheme="minorHAnsi"/>
          <w:sz w:val="28"/>
          <w:szCs w:val="28"/>
        </w:rPr>
        <w:t>κάλυψη</w:t>
      </w:r>
      <w:r>
        <w:rPr>
          <w:rFonts w:cstheme="minorHAnsi"/>
          <w:sz w:val="28"/>
          <w:szCs w:val="28"/>
        </w:rPr>
        <w:t xml:space="preserve"> </w:t>
      </w:r>
      <w:r w:rsidRPr="00536D0F">
        <w:rPr>
          <w:rFonts w:cstheme="minorHAnsi"/>
          <w:sz w:val="28"/>
          <w:szCs w:val="28"/>
        </w:rPr>
        <w:t xml:space="preserve">του </w:t>
      </w:r>
      <w:r w:rsidRPr="00536D0F">
        <w:rPr>
          <w:rFonts w:cstheme="minorHAnsi"/>
          <w:sz w:val="28"/>
          <w:szCs w:val="28"/>
          <w:lang w:val="en-US"/>
        </w:rPr>
        <w:t>e</w:t>
      </w:r>
      <w:r w:rsidRPr="00536D0F">
        <w:rPr>
          <w:rFonts w:cstheme="minorHAnsi"/>
          <w:sz w:val="28"/>
          <w:szCs w:val="28"/>
        </w:rPr>
        <w:t xml:space="preserve">-ΕΦΚΑ. Οι επιχειρήσεις που ενδιαφέρονται να συμμετάσχουν υποβάλουν ηλεκτρονική αίτηση μέσω της ιστοσελίδας της ΔΥΠΑ: </w:t>
      </w:r>
      <w:hyperlink r:id="rId11" w:history="1">
        <w:r w:rsidRPr="00536D0F">
          <w:rPr>
            <w:rStyle w:val="-"/>
            <w:rFonts w:cstheme="minorHAnsi"/>
            <w:sz w:val="28"/>
            <w:szCs w:val="28"/>
          </w:rPr>
          <w:t>https://www.dypa.gov.gr/anoikta-proghrammata</w:t>
        </w:r>
      </w:hyperlink>
    </w:p>
    <w:p w:rsidR="00711D2A" w:rsidRDefault="00711D2A" w:rsidP="00A361DA">
      <w:pPr>
        <w:ind w:right="283"/>
        <w:jc w:val="both"/>
        <w:rPr>
          <w:rFonts w:ascii="Arial" w:hAnsi="Arial" w:cs="Arial"/>
          <w:sz w:val="22"/>
          <w:szCs w:val="22"/>
        </w:rPr>
      </w:pPr>
    </w:p>
    <w:sectPr w:rsidR="00711D2A" w:rsidSect="00890B58">
      <w:headerReference w:type="even" r:id="rId12"/>
      <w:headerReference w:type="default" r:id="rId13"/>
      <w:footerReference w:type="even" r:id="rId14"/>
      <w:footerReference w:type="default" r:id="rId15"/>
      <w:headerReference w:type="first" r:id="rId16"/>
      <w:pgSz w:w="11906" w:h="16838" w:code="9"/>
      <w:pgMar w:top="1077" w:right="1418" w:bottom="238" w:left="1418" w:header="130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D0B" w:rsidRDefault="00061D0B">
      <w:r>
        <w:separator/>
      </w:r>
    </w:p>
  </w:endnote>
  <w:endnote w:type="continuationSeparator" w:id="0">
    <w:p w:rsidR="00061D0B" w:rsidRDefault="0006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788" w:rsidRDefault="003A5BB3" w:rsidP="006D22C6">
    <w:pPr>
      <w:pStyle w:val="a4"/>
      <w:framePr w:wrap="around" w:vAnchor="text" w:hAnchor="margin" w:xAlign="right" w:y="1"/>
      <w:rPr>
        <w:rStyle w:val="ab"/>
      </w:rPr>
    </w:pPr>
    <w:r>
      <w:rPr>
        <w:rStyle w:val="ab"/>
      </w:rPr>
      <w:fldChar w:fldCharType="begin"/>
    </w:r>
    <w:r w:rsidR="00467788">
      <w:rPr>
        <w:rStyle w:val="ab"/>
      </w:rPr>
      <w:instrText xml:space="preserve">PAGE  </w:instrText>
    </w:r>
    <w:r>
      <w:rPr>
        <w:rStyle w:val="ab"/>
      </w:rPr>
      <w:fldChar w:fldCharType="end"/>
    </w:r>
  </w:p>
  <w:p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9A9" w:rsidRDefault="003769A9" w:rsidP="00217446">
    <w:pPr>
      <w:pStyle w:val="a4"/>
      <w:tabs>
        <w:tab w:val="left" w:pos="4395"/>
        <w:tab w:val="left" w:pos="4536"/>
      </w:tabs>
    </w:pPr>
  </w:p>
  <w:p w:rsidR="00391BDD" w:rsidRPr="005371FC" w:rsidRDefault="003D5C22" w:rsidP="00217446">
    <w:pPr>
      <w:pStyle w:val="a4"/>
      <w:tabs>
        <w:tab w:val="clear" w:pos="4153"/>
        <w:tab w:val="clear" w:pos="8306"/>
        <w:tab w:val="left" w:pos="4887"/>
        <w:tab w:val="left" w:pos="5833"/>
      </w:tabs>
      <w:ind w:right="360" w:firstLine="2160"/>
      <w:rPr>
        <w:rFonts w:ascii="Tahoma" w:hAnsi="Tahoma" w:cs="Cambria"/>
      </w:rPr>
    </w:pPr>
    <w:r>
      <w:rPr>
        <w:rFonts w:ascii="Tahoma" w:hAnsi="Tahoma" w:cs="Cambria"/>
        <w:noProof/>
      </w:rPr>
      <w:drawing>
        <wp:anchor distT="0" distB="0" distL="114300" distR="114300" simplePos="0" relativeHeight="251664384" behindDoc="1" locked="0" layoutInCell="1" allowOverlap="1">
          <wp:simplePos x="0" y="0"/>
          <wp:positionH relativeFrom="column">
            <wp:posOffset>1353820</wp:posOffset>
          </wp:positionH>
          <wp:positionV relativeFrom="page">
            <wp:posOffset>9799320</wp:posOffset>
          </wp:positionV>
          <wp:extent cx="3051775" cy="2880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bwMode="auto">
                  <a:xfrm>
                    <a:off x="0" y="0"/>
                    <a:ext cx="3051775" cy="288000"/>
                  </a:xfrm>
                  <a:prstGeom prst="rect">
                    <a:avLst/>
                  </a:prstGeom>
                  <a:ln>
                    <a:noFill/>
                  </a:ln>
                  <a:extLst>
                    <a:ext uri="{53640926-AAD7-44D8-BBD7-CCE9431645EC}">
                      <a14:shadowObscured xmlns:a14="http://schemas.microsoft.com/office/drawing/2010/main"/>
                    </a:ext>
                  </a:extLst>
                </pic:spPr>
              </pic:pic>
            </a:graphicData>
          </a:graphic>
        </wp:anchor>
      </w:drawing>
    </w:r>
    <w:r w:rsidR="00217446">
      <w:rPr>
        <w:rFonts w:ascii="Tahoma" w:hAnsi="Tahoma" w:cs="Cambria"/>
      </w:rPr>
      <w:tab/>
    </w:r>
    <w:r w:rsidR="00217446">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D0B" w:rsidRDefault="00061D0B">
      <w:r>
        <w:separator/>
      </w:r>
    </w:p>
  </w:footnote>
  <w:footnote w:type="continuationSeparator" w:id="0">
    <w:p w:rsidR="00061D0B" w:rsidRDefault="00061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E8" w:rsidRDefault="00061D0B">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93" type="#_x0000_t75" style="position:absolute;margin-left:0;margin-top:0;width:595.2pt;height:842.25pt;z-index:-251654144;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E8" w:rsidRDefault="00912962">
    <w:pPr>
      <w:pStyle w:val="a5"/>
    </w:pPr>
    <w:r>
      <w:rPr>
        <w:noProof/>
      </w:rPr>
      <w:drawing>
        <wp:anchor distT="0" distB="0" distL="114300" distR="114300" simplePos="0" relativeHeight="251666432" behindDoc="1" locked="0" layoutInCell="1" allowOverlap="1">
          <wp:simplePos x="0" y="0"/>
          <wp:positionH relativeFrom="column">
            <wp:posOffset>2145665</wp:posOffset>
          </wp:positionH>
          <wp:positionV relativeFrom="paragraph">
            <wp:posOffset>-542290</wp:posOffset>
          </wp:positionV>
          <wp:extent cx="1443600" cy="489600"/>
          <wp:effectExtent l="0" t="0" r="4445" b="5715"/>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600" cy="489600"/>
                  </a:xfrm>
                  <a:prstGeom prst="rect">
                    <a:avLst/>
                  </a:prstGeom>
                  <a:noFill/>
                </pic:spPr>
              </pic:pic>
            </a:graphicData>
          </a:graphic>
        </wp:anchor>
      </w:drawing>
    </w:r>
    <w:r w:rsidR="00061D0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2" o:spid="_x0000_s2094" type="#_x0000_t75" style="position:absolute;margin-left:-71pt;margin-top:-90.15pt;width:595.2pt;height:883.05pt;z-index:-251653120;mso-position-horizontal-relative:margin;mso-position-vertical-relative:margin" o:allowincell="f">
          <v:imagedata r:id="rId2" o:title="Forma-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E8" w:rsidRDefault="00061D0B">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92" type="#_x0000_t75" style="position:absolute;margin-left:0;margin-top:0;width:595.2pt;height:842.25pt;z-index:-251655168;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7"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0"/>
  </w:num>
  <w:num w:numId="11">
    <w:abstractNumId w:val="12"/>
  </w:num>
  <w:num w:numId="12">
    <w:abstractNumId w:val="6"/>
  </w:num>
  <w:num w:numId="13">
    <w:abstractNumId w:val="8"/>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5">
      <o:colormru v:ext="edit" colors="#00adef,#0075b2,#36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25E6"/>
    <w:rsid w:val="000012B0"/>
    <w:rsid w:val="00025055"/>
    <w:rsid w:val="0003154C"/>
    <w:rsid w:val="00033C77"/>
    <w:rsid w:val="000357C6"/>
    <w:rsid w:val="00042DD9"/>
    <w:rsid w:val="00044F1C"/>
    <w:rsid w:val="00052EEA"/>
    <w:rsid w:val="0005418E"/>
    <w:rsid w:val="00054856"/>
    <w:rsid w:val="00061D0B"/>
    <w:rsid w:val="000631F1"/>
    <w:rsid w:val="000766C8"/>
    <w:rsid w:val="000813EB"/>
    <w:rsid w:val="000877A2"/>
    <w:rsid w:val="00087ACB"/>
    <w:rsid w:val="00092A95"/>
    <w:rsid w:val="000A3207"/>
    <w:rsid w:val="000B0995"/>
    <w:rsid w:val="000C65A5"/>
    <w:rsid w:val="000E1D39"/>
    <w:rsid w:val="001271C9"/>
    <w:rsid w:val="0015424E"/>
    <w:rsid w:val="00154886"/>
    <w:rsid w:val="00161E7D"/>
    <w:rsid w:val="001653E2"/>
    <w:rsid w:val="0016571E"/>
    <w:rsid w:val="00177088"/>
    <w:rsid w:val="001863DB"/>
    <w:rsid w:val="001864AF"/>
    <w:rsid w:val="00197DCA"/>
    <w:rsid w:val="001A0814"/>
    <w:rsid w:val="001A0BAE"/>
    <w:rsid w:val="001A379A"/>
    <w:rsid w:val="001C0BBD"/>
    <w:rsid w:val="001D5BC9"/>
    <w:rsid w:val="001E1D21"/>
    <w:rsid w:val="001F12B4"/>
    <w:rsid w:val="001F33E0"/>
    <w:rsid w:val="00201BAB"/>
    <w:rsid w:val="00204B3C"/>
    <w:rsid w:val="002104CE"/>
    <w:rsid w:val="0021099D"/>
    <w:rsid w:val="00217446"/>
    <w:rsid w:val="0024101B"/>
    <w:rsid w:val="002530B0"/>
    <w:rsid w:val="0026007D"/>
    <w:rsid w:val="00274BD5"/>
    <w:rsid w:val="00285EA3"/>
    <w:rsid w:val="002934D3"/>
    <w:rsid w:val="00297C02"/>
    <w:rsid w:val="002A407F"/>
    <w:rsid w:val="002A4F0F"/>
    <w:rsid w:val="002B3459"/>
    <w:rsid w:val="002B45F7"/>
    <w:rsid w:val="002C318A"/>
    <w:rsid w:val="002C44F9"/>
    <w:rsid w:val="002D2CA8"/>
    <w:rsid w:val="002D3489"/>
    <w:rsid w:val="002D43C5"/>
    <w:rsid w:val="002D70EE"/>
    <w:rsid w:val="002E2CFC"/>
    <w:rsid w:val="002E579C"/>
    <w:rsid w:val="00301125"/>
    <w:rsid w:val="00314E9A"/>
    <w:rsid w:val="003160E0"/>
    <w:rsid w:val="00321312"/>
    <w:rsid w:val="0032394B"/>
    <w:rsid w:val="00341A16"/>
    <w:rsid w:val="00343828"/>
    <w:rsid w:val="00344BDB"/>
    <w:rsid w:val="003505CB"/>
    <w:rsid w:val="00361DCA"/>
    <w:rsid w:val="00375DE8"/>
    <w:rsid w:val="003769A9"/>
    <w:rsid w:val="0038257D"/>
    <w:rsid w:val="00386E1C"/>
    <w:rsid w:val="003910FF"/>
    <w:rsid w:val="00391BDD"/>
    <w:rsid w:val="00394501"/>
    <w:rsid w:val="003A5BB3"/>
    <w:rsid w:val="003A7C70"/>
    <w:rsid w:val="003B12C0"/>
    <w:rsid w:val="003B42D6"/>
    <w:rsid w:val="003C2CD7"/>
    <w:rsid w:val="003C422D"/>
    <w:rsid w:val="003C7F4A"/>
    <w:rsid w:val="003D5C22"/>
    <w:rsid w:val="003E0FB8"/>
    <w:rsid w:val="003E11DE"/>
    <w:rsid w:val="003E32AD"/>
    <w:rsid w:val="003F0209"/>
    <w:rsid w:val="00403332"/>
    <w:rsid w:val="00407CE6"/>
    <w:rsid w:val="00410F3A"/>
    <w:rsid w:val="004171A9"/>
    <w:rsid w:val="00417B17"/>
    <w:rsid w:val="00422A04"/>
    <w:rsid w:val="00424330"/>
    <w:rsid w:val="0042559F"/>
    <w:rsid w:val="0042674A"/>
    <w:rsid w:val="00432D25"/>
    <w:rsid w:val="004363B1"/>
    <w:rsid w:val="00467788"/>
    <w:rsid w:val="004716DB"/>
    <w:rsid w:val="00476851"/>
    <w:rsid w:val="0048686C"/>
    <w:rsid w:val="004964D2"/>
    <w:rsid w:val="004977E0"/>
    <w:rsid w:val="004A4A53"/>
    <w:rsid w:val="004A6558"/>
    <w:rsid w:val="004A666F"/>
    <w:rsid w:val="004B441E"/>
    <w:rsid w:val="004C2A82"/>
    <w:rsid w:val="004C5400"/>
    <w:rsid w:val="004D27B2"/>
    <w:rsid w:val="004D51DD"/>
    <w:rsid w:val="004D758A"/>
    <w:rsid w:val="004E5E3F"/>
    <w:rsid w:val="004E6F8E"/>
    <w:rsid w:val="004F131E"/>
    <w:rsid w:val="004F5959"/>
    <w:rsid w:val="00503253"/>
    <w:rsid w:val="00507641"/>
    <w:rsid w:val="005111F5"/>
    <w:rsid w:val="00533DBE"/>
    <w:rsid w:val="005371FC"/>
    <w:rsid w:val="005444E0"/>
    <w:rsid w:val="005712E9"/>
    <w:rsid w:val="005744DF"/>
    <w:rsid w:val="00575073"/>
    <w:rsid w:val="00576294"/>
    <w:rsid w:val="005A1FC0"/>
    <w:rsid w:val="005A79F4"/>
    <w:rsid w:val="005B0E32"/>
    <w:rsid w:val="005B179C"/>
    <w:rsid w:val="005B58AE"/>
    <w:rsid w:val="005B6A60"/>
    <w:rsid w:val="005C1EBD"/>
    <w:rsid w:val="005C2A61"/>
    <w:rsid w:val="005D0586"/>
    <w:rsid w:val="005D21DE"/>
    <w:rsid w:val="005D5539"/>
    <w:rsid w:val="005D7527"/>
    <w:rsid w:val="005F6CD3"/>
    <w:rsid w:val="0060136F"/>
    <w:rsid w:val="00613069"/>
    <w:rsid w:val="00625D1F"/>
    <w:rsid w:val="00635AFF"/>
    <w:rsid w:val="00644515"/>
    <w:rsid w:val="0065510C"/>
    <w:rsid w:val="00670556"/>
    <w:rsid w:val="006744EF"/>
    <w:rsid w:val="006A7547"/>
    <w:rsid w:val="006B4391"/>
    <w:rsid w:val="006B62C6"/>
    <w:rsid w:val="006B63A7"/>
    <w:rsid w:val="006B7092"/>
    <w:rsid w:val="006D0CF9"/>
    <w:rsid w:val="006D22C6"/>
    <w:rsid w:val="006D64A8"/>
    <w:rsid w:val="006E1D91"/>
    <w:rsid w:val="006E55BF"/>
    <w:rsid w:val="006F5D6D"/>
    <w:rsid w:val="006F7034"/>
    <w:rsid w:val="00702922"/>
    <w:rsid w:val="00703991"/>
    <w:rsid w:val="00711D2A"/>
    <w:rsid w:val="00717B16"/>
    <w:rsid w:val="00734EE9"/>
    <w:rsid w:val="007455AA"/>
    <w:rsid w:val="007A0DF8"/>
    <w:rsid w:val="007A3852"/>
    <w:rsid w:val="007A4FFB"/>
    <w:rsid w:val="007B1454"/>
    <w:rsid w:val="007C5CAC"/>
    <w:rsid w:val="007E4173"/>
    <w:rsid w:val="007E63E8"/>
    <w:rsid w:val="007E72EF"/>
    <w:rsid w:val="007E74BD"/>
    <w:rsid w:val="007F2E19"/>
    <w:rsid w:val="00826BC1"/>
    <w:rsid w:val="00837EFF"/>
    <w:rsid w:val="00860DF7"/>
    <w:rsid w:val="00861452"/>
    <w:rsid w:val="00864C4A"/>
    <w:rsid w:val="00865D4F"/>
    <w:rsid w:val="00871B0B"/>
    <w:rsid w:val="00890B58"/>
    <w:rsid w:val="00894CEE"/>
    <w:rsid w:val="008A5143"/>
    <w:rsid w:val="008A7C37"/>
    <w:rsid w:val="008B2E6E"/>
    <w:rsid w:val="008D05C5"/>
    <w:rsid w:val="008D0EF8"/>
    <w:rsid w:val="008F24F7"/>
    <w:rsid w:val="00912962"/>
    <w:rsid w:val="00922CF5"/>
    <w:rsid w:val="0093009C"/>
    <w:rsid w:val="00941FE5"/>
    <w:rsid w:val="00954513"/>
    <w:rsid w:val="00964CDC"/>
    <w:rsid w:val="00967EA2"/>
    <w:rsid w:val="009704E9"/>
    <w:rsid w:val="00970F73"/>
    <w:rsid w:val="00985C8D"/>
    <w:rsid w:val="0099623B"/>
    <w:rsid w:val="00996F61"/>
    <w:rsid w:val="009B2DDC"/>
    <w:rsid w:val="009B3E76"/>
    <w:rsid w:val="009B481A"/>
    <w:rsid w:val="009D0160"/>
    <w:rsid w:val="009D4CCB"/>
    <w:rsid w:val="009D7701"/>
    <w:rsid w:val="009E0792"/>
    <w:rsid w:val="009E3EBE"/>
    <w:rsid w:val="00A10B57"/>
    <w:rsid w:val="00A206CB"/>
    <w:rsid w:val="00A24B4D"/>
    <w:rsid w:val="00A361DA"/>
    <w:rsid w:val="00A41C6C"/>
    <w:rsid w:val="00A42623"/>
    <w:rsid w:val="00A4564F"/>
    <w:rsid w:val="00A63533"/>
    <w:rsid w:val="00A87251"/>
    <w:rsid w:val="00A910B3"/>
    <w:rsid w:val="00AA4739"/>
    <w:rsid w:val="00AB3CC9"/>
    <w:rsid w:val="00AB4067"/>
    <w:rsid w:val="00AB7464"/>
    <w:rsid w:val="00AC1331"/>
    <w:rsid w:val="00AC7CF1"/>
    <w:rsid w:val="00AD53D9"/>
    <w:rsid w:val="00AE2B31"/>
    <w:rsid w:val="00AF615B"/>
    <w:rsid w:val="00B12975"/>
    <w:rsid w:val="00B20203"/>
    <w:rsid w:val="00B37A64"/>
    <w:rsid w:val="00B52CDE"/>
    <w:rsid w:val="00B54ED3"/>
    <w:rsid w:val="00B61BE9"/>
    <w:rsid w:val="00B6339D"/>
    <w:rsid w:val="00B65FBA"/>
    <w:rsid w:val="00B84DA3"/>
    <w:rsid w:val="00B958C6"/>
    <w:rsid w:val="00BA6688"/>
    <w:rsid w:val="00BB3CB8"/>
    <w:rsid w:val="00BC4880"/>
    <w:rsid w:val="00BD35B0"/>
    <w:rsid w:val="00BF1C8B"/>
    <w:rsid w:val="00C031BB"/>
    <w:rsid w:val="00C121C7"/>
    <w:rsid w:val="00C15C51"/>
    <w:rsid w:val="00C22314"/>
    <w:rsid w:val="00C22A45"/>
    <w:rsid w:val="00C26B94"/>
    <w:rsid w:val="00C309CF"/>
    <w:rsid w:val="00C74424"/>
    <w:rsid w:val="00CA07FA"/>
    <w:rsid w:val="00CA7964"/>
    <w:rsid w:val="00CC6168"/>
    <w:rsid w:val="00CD2AA9"/>
    <w:rsid w:val="00CD3287"/>
    <w:rsid w:val="00CD3940"/>
    <w:rsid w:val="00CD539A"/>
    <w:rsid w:val="00CF1A8E"/>
    <w:rsid w:val="00CF1C24"/>
    <w:rsid w:val="00CF1F7F"/>
    <w:rsid w:val="00CF2420"/>
    <w:rsid w:val="00CF25E6"/>
    <w:rsid w:val="00D02354"/>
    <w:rsid w:val="00D03BFA"/>
    <w:rsid w:val="00D0514A"/>
    <w:rsid w:val="00D317EF"/>
    <w:rsid w:val="00D37A8B"/>
    <w:rsid w:val="00D46C48"/>
    <w:rsid w:val="00D52C58"/>
    <w:rsid w:val="00D55A3B"/>
    <w:rsid w:val="00D70DCA"/>
    <w:rsid w:val="00D82A22"/>
    <w:rsid w:val="00D86698"/>
    <w:rsid w:val="00D90A10"/>
    <w:rsid w:val="00DA09DF"/>
    <w:rsid w:val="00DB02F4"/>
    <w:rsid w:val="00DB207F"/>
    <w:rsid w:val="00DD36A9"/>
    <w:rsid w:val="00E00D42"/>
    <w:rsid w:val="00E06A81"/>
    <w:rsid w:val="00E07178"/>
    <w:rsid w:val="00E17C05"/>
    <w:rsid w:val="00E27FDE"/>
    <w:rsid w:val="00E35485"/>
    <w:rsid w:val="00E3636B"/>
    <w:rsid w:val="00E36B4D"/>
    <w:rsid w:val="00E50643"/>
    <w:rsid w:val="00E50FAB"/>
    <w:rsid w:val="00E54C09"/>
    <w:rsid w:val="00E6252D"/>
    <w:rsid w:val="00E658A8"/>
    <w:rsid w:val="00E71154"/>
    <w:rsid w:val="00E71F64"/>
    <w:rsid w:val="00E76AEB"/>
    <w:rsid w:val="00E83C8B"/>
    <w:rsid w:val="00E85D04"/>
    <w:rsid w:val="00E8686F"/>
    <w:rsid w:val="00E86B25"/>
    <w:rsid w:val="00EA2C8A"/>
    <w:rsid w:val="00EA655C"/>
    <w:rsid w:val="00EA7908"/>
    <w:rsid w:val="00EB1D07"/>
    <w:rsid w:val="00EC4A58"/>
    <w:rsid w:val="00EC7180"/>
    <w:rsid w:val="00ED179D"/>
    <w:rsid w:val="00EE0935"/>
    <w:rsid w:val="00EF12A7"/>
    <w:rsid w:val="00F10531"/>
    <w:rsid w:val="00F41C4F"/>
    <w:rsid w:val="00F465C2"/>
    <w:rsid w:val="00F53634"/>
    <w:rsid w:val="00F56368"/>
    <w:rsid w:val="00F57538"/>
    <w:rsid w:val="00F6704D"/>
    <w:rsid w:val="00F67454"/>
    <w:rsid w:val="00F7072B"/>
    <w:rsid w:val="00F73743"/>
    <w:rsid w:val="00F75C42"/>
    <w:rsid w:val="00F76E6F"/>
    <w:rsid w:val="00F816D8"/>
    <w:rsid w:val="00F87FAE"/>
    <w:rsid w:val="00F90D4C"/>
    <w:rsid w:val="00F93DC8"/>
    <w:rsid w:val="00F977A3"/>
    <w:rsid w:val="00FB2446"/>
    <w:rsid w:val="00FD2452"/>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00adef,#0075b2,#369"/>
    </o:shapedefaults>
    <o:shapelayout v:ext="edit">
      <o:idmap v:ext="edit" data="1"/>
    </o:shapelayout>
  </w:shapeDefaults>
  <w:decimalSymbol w:val=","/>
  <w:listSeparator w:val=";"/>
  <w14:docId w14:val="7625D91D"/>
  <w15:docId w15:val="{E2DC556D-0F26-4880-8A0E-D7525AC8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rsid w:val="003A5BB3"/>
    <w:pPr>
      <w:keepNext/>
      <w:spacing w:before="240" w:after="60"/>
      <w:outlineLvl w:val="0"/>
    </w:pPr>
    <w:rPr>
      <w:rFonts w:ascii="Arial" w:hAnsi="Arial" w:cs="Arial"/>
      <w:b/>
      <w:bCs/>
      <w:kern w:val="32"/>
      <w:sz w:val="32"/>
      <w:szCs w:val="32"/>
    </w:rPr>
  </w:style>
  <w:style w:type="paragraph" w:styleId="2">
    <w:name w:val="heading 2"/>
    <w:basedOn w:val="a"/>
    <w:next w:val="a"/>
    <w:qFormat/>
    <w:rsid w:val="003A5BB3"/>
    <w:pPr>
      <w:keepNext/>
      <w:jc w:val="center"/>
      <w:outlineLvl w:val="1"/>
    </w:pPr>
    <w:rPr>
      <w:rFonts w:ascii="Tahoma" w:hAnsi="Tahoma" w:cs="Tahoma"/>
      <w:b/>
      <w:bCs/>
      <w:sz w:val="30"/>
    </w:rPr>
  </w:style>
  <w:style w:type="paragraph" w:styleId="3">
    <w:name w:val="heading 3"/>
    <w:basedOn w:val="a"/>
    <w:next w:val="a"/>
    <w:qFormat/>
    <w:rsid w:val="003A5BB3"/>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rsid w:val="003A5BB3"/>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rsid w:val="003A5BB3"/>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rsid w:val="003A5BB3"/>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rsid w:val="003A5BB3"/>
    <w:pPr>
      <w:keepNext/>
      <w:spacing w:before="120" w:after="120"/>
      <w:outlineLvl w:val="6"/>
    </w:pPr>
    <w:rPr>
      <w:rFonts w:ascii="Verdana" w:hAnsi="Verdana"/>
      <w:color w:val="FF0000"/>
      <w:u w:val="single"/>
    </w:rPr>
  </w:style>
  <w:style w:type="paragraph" w:styleId="8">
    <w:name w:val="heading 8"/>
    <w:basedOn w:val="a"/>
    <w:next w:val="a"/>
    <w:qFormat/>
    <w:rsid w:val="003A5BB3"/>
    <w:pPr>
      <w:keepNext/>
      <w:spacing w:before="120" w:after="120"/>
      <w:jc w:val="center"/>
      <w:outlineLvl w:val="7"/>
    </w:pPr>
    <w:rPr>
      <w:rFonts w:ascii="Verdana" w:hAnsi="Verdana"/>
      <w:b/>
      <w:bCs/>
      <w:szCs w:val="28"/>
      <w:u w:val="single"/>
    </w:rPr>
  </w:style>
  <w:style w:type="paragraph" w:styleId="9">
    <w:name w:val="heading 9"/>
    <w:basedOn w:val="a"/>
    <w:next w:val="a"/>
    <w:qFormat/>
    <w:rsid w:val="003A5BB3"/>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A5BB3"/>
    <w:pPr>
      <w:ind w:left="720" w:right="540" w:hanging="360"/>
    </w:pPr>
    <w:rPr>
      <w:rFonts w:eastAsia="SimSun"/>
      <w:szCs w:val="20"/>
    </w:rPr>
  </w:style>
  <w:style w:type="paragraph" w:styleId="a4">
    <w:name w:val="footer"/>
    <w:basedOn w:val="a"/>
    <w:link w:val="Char"/>
    <w:uiPriority w:val="99"/>
    <w:rsid w:val="003A5BB3"/>
    <w:pPr>
      <w:tabs>
        <w:tab w:val="center" w:pos="4153"/>
        <w:tab w:val="right" w:pos="8306"/>
      </w:tabs>
    </w:pPr>
  </w:style>
  <w:style w:type="character" w:styleId="-">
    <w:name w:val="Hyperlink"/>
    <w:rsid w:val="003A5BB3"/>
    <w:rPr>
      <w:color w:val="0000FF"/>
      <w:u w:val="single"/>
    </w:rPr>
  </w:style>
  <w:style w:type="paragraph" w:styleId="a5">
    <w:name w:val="header"/>
    <w:basedOn w:val="a"/>
    <w:rsid w:val="003A5BB3"/>
    <w:pPr>
      <w:tabs>
        <w:tab w:val="center" w:pos="4153"/>
        <w:tab w:val="right" w:pos="8306"/>
      </w:tabs>
    </w:pPr>
  </w:style>
  <w:style w:type="character" w:customStyle="1" w:styleId="Verdana">
    <w:name w:val="Στυλ Verdana"/>
    <w:rsid w:val="003A5BB3"/>
    <w:rPr>
      <w:rFonts w:ascii="Verdana" w:hAnsi="Verdana" w:hint="default"/>
      <w:sz w:val="20"/>
    </w:rPr>
  </w:style>
  <w:style w:type="paragraph" w:styleId="a6">
    <w:name w:val="List Paragraph"/>
    <w:basedOn w:val="a"/>
    <w:qFormat/>
    <w:rsid w:val="003A5BB3"/>
    <w:pPr>
      <w:spacing w:line="300" w:lineRule="auto"/>
      <w:ind w:left="720"/>
      <w:jc w:val="both"/>
    </w:pPr>
    <w:rPr>
      <w:rFonts w:ascii="Arial" w:hAnsi="Arial"/>
      <w:sz w:val="22"/>
      <w:szCs w:val="20"/>
      <w:lang w:eastAsia="en-US"/>
    </w:rPr>
  </w:style>
  <w:style w:type="paragraph" w:styleId="a7">
    <w:name w:val="Body Text"/>
    <w:basedOn w:val="a"/>
    <w:rsid w:val="003A5BB3"/>
    <w:pPr>
      <w:spacing w:line="280" w:lineRule="atLeast"/>
      <w:jc w:val="both"/>
    </w:pPr>
  </w:style>
  <w:style w:type="paragraph" w:styleId="a8">
    <w:name w:val="footnote text"/>
    <w:basedOn w:val="a"/>
    <w:semiHidden/>
    <w:rsid w:val="003A5BB3"/>
    <w:pPr>
      <w:widowControl w:val="0"/>
      <w:suppressAutoHyphens/>
      <w:jc w:val="both"/>
    </w:pPr>
    <w:rPr>
      <w:rFonts w:ascii="Book Antiqua" w:eastAsia="Arial" w:hAnsi="Book Antiqua"/>
      <w:kern w:val="2"/>
      <w:sz w:val="20"/>
      <w:szCs w:val="20"/>
    </w:rPr>
  </w:style>
  <w:style w:type="paragraph" w:styleId="20">
    <w:name w:val="Body Text 2"/>
    <w:basedOn w:val="a"/>
    <w:rsid w:val="003A5BB3"/>
    <w:pPr>
      <w:spacing w:after="120" w:line="480" w:lineRule="auto"/>
    </w:pPr>
  </w:style>
  <w:style w:type="paragraph" w:styleId="30">
    <w:name w:val="Body Text 3"/>
    <w:basedOn w:val="a"/>
    <w:rsid w:val="003A5BB3"/>
    <w:pPr>
      <w:spacing w:after="120"/>
    </w:pPr>
    <w:rPr>
      <w:sz w:val="16"/>
      <w:szCs w:val="16"/>
    </w:rPr>
  </w:style>
  <w:style w:type="character" w:styleId="a9">
    <w:name w:val="footnote reference"/>
    <w:semiHidden/>
    <w:rsid w:val="003A5BB3"/>
    <w:rPr>
      <w:vertAlign w:val="superscript"/>
    </w:rPr>
  </w:style>
  <w:style w:type="character" w:customStyle="1" w:styleId="CharChar">
    <w:name w:val="Char Char"/>
    <w:rsid w:val="003A5BB3"/>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0"/>
    <w:uiPriority w:val="99"/>
    <w:unhideWhenUsed/>
    <w:rsid w:val="00D52C58"/>
    <w:rPr>
      <w:rFonts w:ascii="Consolas" w:eastAsia="Calibri" w:hAnsi="Consolas"/>
      <w:sz w:val="21"/>
      <w:szCs w:val="21"/>
    </w:rPr>
  </w:style>
  <w:style w:type="character" w:customStyle="1" w:styleId="Char0">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1"/>
    <w:rsid w:val="0048686C"/>
    <w:rPr>
      <w:rFonts w:ascii="Tahoma" w:hAnsi="Tahoma"/>
      <w:sz w:val="16"/>
      <w:szCs w:val="16"/>
    </w:rPr>
  </w:style>
  <w:style w:type="character" w:customStyle="1" w:styleId="Char1">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4"/>
    <w:uiPriority w:val="99"/>
    <w:rsid w:val="003769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662732323">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ypa.gov.gr/anoikta-proghrammat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0EAA-8591-404F-AED2-9A5A357B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759</Words>
  <Characters>4099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Dypa_1</cp:lastModifiedBy>
  <cp:revision>7</cp:revision>
  <cp:lastPrinted>2021-09-20T12:20:00Z</cp:lastPrinted>
  <dcterms:created xsi:type="dcterms:W3CDTF">2024-06-05T11:21:00Z</dcterms:created>
  <dcterms:modified xsi:type="dcterms:W3CDTF">2024-06-06T13:19:00Z</dcterms:modified>
</cp:coreProperties>
</file>