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91F0" w14:textId="22878C7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 xml:space="preserve">Μηνιαίο Ενημερωτικό Τεύχος </w:t>
      </w:r>
    </w:p>
    <w:p w14:paraId="49A4D73F"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Κεντρικής Ένωσης Επιμελητηρίων Ελλάδος</w:t>
      </w:r>
    </w:p>
    <w:p w14:paraId="303CF88B" w14:textId="77777777" w:rsidR="004E663D" w:rsidRPr="00D35058"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D35058" w:rsidRDefault="004E663D" w:rsidP="001F48C8">
      <w:pPr>
        <w:spacing w:after="0" w:line="288" w:lineRule="auto"/>
        <w:ind w:right="43"/>
        <w:jc w:val="center"/>
        <w:rPr>
          <w:rFonts w:ascii="Times New Roman" w:hAnsi="Times New Roman" w:cs="Times New Roman"/>
          <w:b/>
          <w:sz w:val="24"/>
          <w:szCs w:val="24"/>
        </w:rPr>
      </w:pPr>
    </w:p>
    <w:p w14:paraId="4580E821" w14:textId="52482F27" w:rsidR="004E663D" w:rsidRPr="00D35058" w:rsidRDefault="00026D85"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Αύγουστος</w:t>
      </w:r>
      <w:r w:rsidR="000F266E" w:rsidRPr="00D35058">
        <w:rPr>
          <w:rFonts w:ascii="Times New Roman" w:hAnsi="Times New Roman" w:cs="Times New Roman"/>
          <w:b/>
          <w:sz w:val="32"/>
          <w:szCs w:val="32"/>
        </w:rPr>
        <w:t xml:space="preserve"> </w:t>
      </w:r>
      <w:r w:rsidR="004E663D" w:rsidRPr="00D35058">
        <w:rPr>
          <w:rFonts w:ascii="Times New Roman" w:hAnsi="Times New Roman" w:cs="Times New Roman"/>
          <w:b/>
          <w:sz w:val="32"/>
          <w:szCs w:val="32"/>
        </w:rPr>
        <w:t>202</w:t>
      </w:r>
      <w:r w:rsidR="007E35F2">
        <w:rPr>
          <w:rFonts w:ascii="Times New Roman" w:hAnsi="Times New Roman" w:cs="Times New Roman"/>
          <w:b/>
          <w:sz w:val="32"/>
          <w:szCs w:val="32"/>
        </w:rPr>
        <w:t>3</w:t>
      </w:r>
    </w:p>
    <w:p w14:paraId="040D43D8" w14:textId="0BF06E31" w:rsidR="00667BF1" w:rsidRPr="00D35058"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Default="004A6724" w:rsidP="001F48C8">
      <w:pPr>
        <w:spacing w:line="288" w:lineRule="auto"/>
        <w:rPr>
          <w:rFonts w:ascii="Times New Roman" w:hAnsi="Times New Roman" w:cs="Times New Roman"/>
          <w:bCs/>
          <w:sz w:val="24"/>
          <w:szCs w:val="24"/>
        </w:rPr>
      </w:pPr>
      <w:r>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b w:val="0"/>
          <w:sz w:val="24"/>
          <w:szCs w:val="24"/>
        </w:rPr>
      </w:sdtEndPr>
      <w:sdtContent>
        <w:p w14:paraId="4278ED2B" w14:textId="3D7E2677" w:rsidR="008D455D" w:rsidRPr="0017646D" w:rsidRDefault="008D455D" w:rsidP="001F48C8">
          <w:pPr>
            <w:pStyle w:val="afd"/>
            <w:spacing w:before="0" w:line="288" w:lineRule="auto"/>
            <w:jc w:val="center"/>
            <w:rPr>
              <w:rFonts w:ascii="Times New Roman" w:hAnsi="Times New Roman" w:cs="Times New Roman"/>
              <w:b/>
              <w:bCs/>
              <w:color w:val="auto"/>
              <w:sz w:val="28"/>
              <w:szCs w:val="28"/>
              <w:u w:val="single"/>
            </w:rPr>
          </w:pPr>
          <w:r w:rsidRPr="0017646D">
            <w:rPr>
              <w:rFonts w:ascii="Times New Roman" w:hAnsi="Times New Roman" w:cs="Times New Roman"/>
              <w:b/>
              <w:bCs/>
              <w:color w:val="auto"/>
              <w:sz w:val="28"/>
              <w:szCs w:val="28"/>
              <w:u w:val="single"/>
            </w:rPr>
            <w:t>Πίνακας περιεχομένων</w:t>
          </w:r>
        </w:p>
        <w:p w14:paraId="7D39D5E8" w14:textId="05143597" w:rsidR="00041AB4" w:rsidRDefault="008D455D">
          <w:pPr>
            <w:pStyle w:val="16"/>
            <w:rPr>
              <w:rFonts w:asciiTheme="minorHAnsi" w:eastAsiaTheme="minorEastAsia" w:hAnsiTheme="minorHAnsi" w:cstheme="minorBidi"/>
              <w:b w:val="0"/>
              <w:bCs w:val="0"/>
              <w:kern w:val="2"/>
              <w:lang w:eastAsia="el-GR"/>
              <w14:ligatures w14:val="standardContextual"/>
            </w:rPr>
          </w:pPr>
          <w:r w:rsidRPr="00F55FBC">
            <w:rPr>
              <w:rFonts w:ascii="Times New Roman" w:hAnsi="Times New Roman" w:cs="Times New Roman"/>
              <w:sz w:val="24"/>
              <w:szCs w:val="24"/>
            </w:rPr>
            <w:fldChar w:fldCharType="begin"/>
          </w:r>
          <w:r w:rsidRPr="00F55FBC">
            <w:rPr>
              <w:rFonts w:ascii="Times New Roman" w:hAnsi="Times New Roman" w:cs="Times New Roman"/>
              <w:sz w:val="24"/>
              <w:szCs w:val="24"/>
            </w:rPr>
            <w:instrText xml:space="preserve"> TOC \o "1-3" \h \z \u </w:instrText>
          </w:r>
          <w:r w:rsidRPr="00F55FBC">
            <w:rPr>
              <w:rFonts w:ascii="Times New Roman" w:hAnsi="Times New Roman" w:cs="Times New Roman"/>
              <w:sz w:val="24"/>
              <w:szCs w:val="24"/>
            </w:rPr>
            <w:fldChar w:fldCharType="separate"/>
          </w:r>
          <w:hyperlink w:anchor="_Toc145326328" w:history="1">
            <w:r w:rsidR="00041AB4" w:rsidRPr="003C13D6">
              <w:rPr>
                <w:rStyle w:val="-"/>
              </w:rPr>
              <w:t>1.</w:t>
            </w:r>
            <w:r w:rsidR="00041AB4">
              <w:rPr>
                <w:rFonts w:asciiTheme="minorHAnsi" w:eastAsiaTheme="minorEastAsia" w:hAnsiTheme="minorHAnsi" w:cstheme="minorBidi"/>
                <w:b w:val="0"/>
                <w:bCs w:val="0"/>
                <w:kern w:val="2"/>
                <w:lang w:eastAsia="el-GR"/>
                <w14:ligatures w14:val="standardContextual"/>
              </w:rPr>
              <w:tab/>
            </w:r>
            <w:r w:rsidR="00041AB4" w:rsidRPr="003C13D6">
              <w:rPr>
                <w:rStyle w:val="-"/>
              </w:rPr>
              <w:t>ΘΕΜΑΤΑ ΑΝΑΠΤΥΞΙΑΚΩΝ – ΧΡΗΜΑΤΟΔΟΤΙΚΩΝ ΠΡΟΓΡΑΜΜΑΤΩΝ</w:t>
            </w:r>
            <w:r w:rsidR="00041AB4">
              <w:rPr>
                <w:webHidden/>
              </w:rPr>
              <w:tab/>
            </w:r>
            <w:r w:rsidR="00041AB4">
              <w:rPr>
                <w:webHidden/>
              </w:rPr>
              <w:fldChar w:fldCharType="begin"/>
            </w:r>
            <w:r w:rsidR="00041AB4">
              <w:rPr>
                <w:webHidden/>
              </w:rPr>
              <w:instrText xml:space="preserve"> PAGEREF _Toc145326328 \h </w:instrText>
            </w:r>
            <w:r w:rsidR="00041AB4">
              <w:rPr>
                <w:webHidden/>
              </w:rPr>
            </w:r>
            <w:r w:rsidR="00041AB4">
              <w:rPr>
                <w:webHidden/>
              </w:rPr>
              <w:fldChar w:fldCharType="separate"/>
            </w:r>
            <w:r w:rsidR="00041AB4">
              <w:rPr>
                <w:webHidden/>
              </w:rPr>
              <w:t>3</w:t>
            </w:r>
            <w:r w:rsidR="00041AB4">
              <w:rPr>
                <w:webHidden/>
              </w:rPr>
              <w:fldChar w:fldCharType="end"/>
            </w:r>
          </w:hyperlink>
        </w:p>
        <w:p w14:paraId="2ED01D2B" w14:textId="213E3A03" w:rsidR="00041AB4" w:rsidRDefault="00041AB4">
          <w:pPr>
            <w:pStyle w:val="26"/>
            <w:rPr>
              <w:rFonts w:asciiTheme="minorHAnsi" w:eastAsiaTheme="minorEastAsia" w:hAnsiTheme="minorHAnsi" w:cstheme="minorBidi"/>
              <w:bCs w:val="0"/>
              <w:kern w:val="2"/>
              <w:lang w:eastAsia="el-GR"/>
              <w14:ligatures w14:val="standardContextual"/>
            </w:rPr>
          </w:pPr>
          <w:hyperlink w:anchor="_Toc145326329" w:history="1">
            <w:r w:rsidRPr="003C13D6">
              <w:rPr>
                <w:rStyle w:val="-"/>
                <w:rFonts w:ascii="Times New Roman" w:hAnsi="Times New Roman" w:cs="Times New Roman"/>
                <w:b/>
              </w:rPr>
              <w:t>Α. «Ενίσχυση της ίδρυσης και λειτουργίας νέων μικρομεσαίων επιχειρήσεων»</w:t>
            </w:r>
            <w:r>
              <w:rPr>
                <w:webHidden/>
              </w:rPr>
              <w:tab/>
            </w:r>
            <w:r>
              <w:rPr>
                <w:webHidden/>
              </w:rPr>
              <w:fldChar w:fldCharType="begin"/>
            </w:r>
            <w:r>
              <w:rPr>
                <w:webHidden/>
              </w:rPr>
              <w:instrText xml:space="preserve"> PAGEREF _Toc145326329 \h </w:instrText>
            </w:r>
            <w:r>
              <w:rPr>
                <w:webHidden/>
              </w:rPr>
            </w:r>
            <w:r>
              <w:rPr>
                <w:webHidden/>
              </w:rPr>
              <w:fldChar w:fldCharType="separate"/>
            </w:r>
            <w:r>
              <w:rPr>
                <w:webHidden/>
              </w:rPr>
              <w:t>3</w:t>
            </w:r>
            <w:r>
              <w:rPr>
                <w:webHidden/>
              </w:rPr>
              <w:fldChar w:fldCharType="end"/>
            </w:r>
          </w:hyperlink>
        </w:p>
        <w:p w14:paraId="00FBC614" w14:textId="22A9FBA8" w:rsidR="00041AB4" w:rsidRDefault="00041AB4">
          <w:pPr>
            <w:pStyle w:val="16"/>
            <w:rPr>
              <w:rFonts w:asciiTheme="minorHAnsi" w:eastAsiaTheme="minorEastAsia" w:hAnsiTheme="minorHAnsi" w:cstheme="minorBidi"/>
              <w:b w:val="0"/>
              <w:bCs w:val="0"/>
              <w:kern w:val="2"/>
              <w:lang w:eastAsia="el-GR"/>
              <w14:ligatures w14:val="standardContextual"/>
            </w:rPr>
          </w:pPr>
          <w:hyperlink w:anchor="_Toc145326330" w:history="1">
            <w:r w:rsidRPr="003C13D6">
              <w:rPr>
                <w:rStyle w:val="-"/>
              </w:rPr>
              <w:t>2.</w:t>
            </w:r>
            <w:r>
              <w:rPr>
                <w:rFonts w:asciiTheme="minorHAnsi" w:eastAsiaTheme="minorEastAsia" w:hAnsiTheme="minorHAnsi" w:cstheme="minorBidi"/>
                <w:b w:val="0"/>
                <w:bCs w:val="0"/>
                <w:kern w:val="2"/>
                <w:lang w:eastAsia="el-GR"/>
                <w14:ligatures w14:val="standardContextual"/>
              </w:rPr>
              <w:tab/>
            </w:r>
            <w:r w:rsidRPr="003C13D6">
              <w:rPr>
                <w:rStyle w:val="-"/>
              </w:rPr>
              <w:t>ΘΕΜΑΤΑ ΧΩΡΟΤΑΞΙΑΣ – ΠΟΛΕΟΔΟΜΙΚΑ ΘΕΜΑΤΑ</w:t>
            </w:r>
            <w:r>
              <w:rPr>
                <w:webHidden/>
              </w:rPr>
              <w:tab/>
            </w:r>
            <w:r>
              <w:rPr>
                <w:webHidden/>
              </w:rPr>
              <w:fldChar w:fldCharType="begin"/>
            </w:r>
            <w:r>
              <w:rPr>
                <w:webHidden/>
              </w:rPr>
              <w:instrText xml:space="preserve"> PAGEREF _Toc145326330 \h </w:instrText>
            </w:r>
            <w:r>
              <w:rPr>
                <w:webHidden/>
              </w:rPr>
            </w:r>
            <w:r>
              <w:rPr>
                <w:webHidden/>
              </w:rPr>
              <w:fldChar w:fldCharType="separate"/>
            </w:r>
            <w:r>
              <w:rPr>
                <w:webHidden/>
              </w:rPr>
              <w:t>7</w:t>
            </w:r>
            <w:r>
              <w:rPr>
                <w:webHidden/>
              </w:rPr>
              <w:fldChar w:fldCharType="end"/>
            </w:r>
          </w:hyperlink>
        </w:p>
        <w:p w14:paraId="55EA9D5E" w14:textId="3D1EAE1D" w:rsidR="00041AB4" w:rsidRDefault="00041AB4">
          <w:pPr>
            <w:pStyle w:val="26"/>
            <w:rPr>
              <w:rFonts w:asciiTheme="minorHAnsi" w:eastAsiaTheme="minorEastAsia" w:hAnsiTheme="minorHAnsi" w:cstheme="minorBidi"/>
              <w:bCs w:val="0"/>
              <w:kern w:val="2"/>
              <w:lang w:eastAsia="el-GR"/>
              <w14:ligatures w14:val="standardContextual"/>
            </w:rPr>
          </w:pPr>
          <w:hyperlink w:anchor="_Toc145326331" w:history="1">
            <w:r w:rsidRPr="003C13D6">
              <w:rPr>
                <w:rStyle w:val="-"/>
                <w:rFonts w:ascii="Times New Roman" w:hAnsi="Times New Roman" w:cs="Times New Roman"/>
                <w:b/>
              </w:rPr>
              <w:t>Α. Επίτευξη κατ’ εξαίρεση αρτιότητας και οικοδομησιμότητας για την ανέγερση τουριστικών καταλυμάτων και εγκαταστάσεων</w:t>
            </w:r>
            <w:r>
              <w:rPr>
                <w:webHidden/>
              </w:rPr>
              <w:tab/>
            </w:r>
            <w:r>
              <w:rPr>
                <w:webHidden/>
              </w:rPr>
              <w:fldChar w:fldCharType="begin"/>
            </w:r>
            <w:r>
              <w:rPr>
                <w:webHidden/>
              </w:rPr>
              <w:instrText xml:space="preserve"> PAGEREF _Toc145326331 \h </w:instrText>
            </w:r>
            <w:r>
              <w:rPr>
                <w:webHidden/>
              </w:rPr>
            </w:r>
            <w:r>
              <w:rPr>
                <w:webHidden/>
              </w:rPr>
              <w:fldChar w:fldCharType="separate"/>
            </w:r>
            <w:r>
              <w:rPr>
                <w:webHidden/>
              </w:rPr>
              <w:t>7</w:t>
            </w:r>
            <w:r>
              <w:rPr>
                <w:webHidden/>
              </w:rPr>
              <w:fldChar w:fldCharType="end"/>
            </w:r>
          </w:hyperlink>
        </w:p>
        <w:p w14:paraId="24A41085" w14:textId="0D4B7D6A" w:rsidR="00041AB4" w:rsidRDefault="00041AB4">
          <w:pPr>
            <w:pStyle w:val="16"/>
            <w:rPr>
              <w:rFonts w:asciiTheme="minorHAnsi" w:eastAsiaTheme="minorEastAsia" w:hAnsiTheme="minorHAnsi" w:cstheme="minorBidi"/>
              <w:b w:val="0"/>
              <w:bCs w:val="0"/>
              <w:kern w:val="2"/>
              <w:lang w:eastAsia="el-GR"/>
              <w14:ligatures w14:val="standardContextual"/>
            </w:rPr>
          </w:pPr>
          <w:hyperlink w:anchor="_Toc145326332" w:history="1">
            <w:r w:rsidRPr="003C13D6">
              <w:rPr>
                <w:rStyle w:val="-"/>
              </w:rPr>
              <w:t>3.</w:t>
            </w:r>
            <w:r>
              <w:rPr>
                <w:rFonts w:asciiTheme="minorHAnsi" w:eastAsiaTheme="minorEastAsia" w:hAnsiTheme="minorHAnsi" w:cstheme="minorBidi"/>
                <w:b w:val="0"/>
                <w:bCs w:val="0"/>
                <w:kern w:val="2"/>
                <w:lang w:eastAsia="el-GR"/>
                <w14:ligatures w14:val="standardContextual"/>
              </w:rPr>
              <w:tab/>
            </w:r>
            <w:r w:rsidRPr="003C13D6">
              <w:rPr>
                <w:rStyle w:val="-"/>
              </w:rPr>
              <w:t>ΘΕΜΑΤΑ ΕΠΙΧΕΙΡΗΜΑΤΙΚΩΝ ΠΑΡΚΩΝ (ΕΠ) / ΟΡΓΑΝΩΜΕΝΩΝ ΥΠΟΔΟΧΕΩΝ ΜΕΤΑΠΟΙΗΤΙΚΩΝ &amp; ΕΠΙΧΕΙΡΗΜΑΤΙΚΩΝ ΔΡΑΣΤΗΡΙΟΤΗΤΩΝ (ΟΥΜΕΔ) ΚΑΙ ΕΦΟΔΙΑΣΤΙΚΗΣ</w:t>
            </w:r>
            <w:r>
              <w:rPr>
                <w:webHidden/>
              </w:rPr>
              <w:tab/>
            </w:r>
            <w:r>
              <w:rPr>
                <w:webHidden/>
              </w:rPr>
              <w:fldChar w:fldCharType="begin"/>
            </w:r>
            <w:r>
              <w:rPr>
                <w:webHidden/>
              </w:rPr>
              <w:instrText xml:space="preserve"> PAGEREF _Toc145326332 \h </w:instrText>
            </w:r>
            <w:r>
              <w:rPr>
                <w:webHidden/>
              </w:rPr>
            </w:r>
            <w:r>
              <w:rPr>
                <w:webHidden/>
              </w:rPr>
              <w:fldChar w:fldCharType="separate"/>
            </w:r>
            <w:r>
              <w:rPr>
                <w:webHidden/>
              </w:rPr>
              <w:t>10</w:t>
            </w:r>
            <w:r>
              <w:rPr>
                <w:webHidden/>
              </w:rPr>
              <w:fldChar w:fldCharType="end"/>
            </w:r>
          </w:hyperlink>
        </w:p>
        <w:p w14:paraId="451A7670" w14:textId="5C0C998B" w:rsidR="00041AB4" w:rsidRDefault="00041AB4">
          <w:pPr>
            <w:pStyle w:val="26"/>
            <w:rPr>
              <w:rFonts w:asciiTheme="minorHAnsi" w:eastAsiaTheme="minorEastAsia" w:hAnsiTheme="minorHAnsi" w:cstheme="minorBidi"/>
              <w:bCs w:val="0"/>
              <w:kern w:val="2"/>
              <w:lang w:eastAsia="el-GR"/>
              <w14:ligatures w14:val="standardContextual"/>
            </w:rPr>
          </w:pPr>
          <w:hyperlink w:anchor="_Toc145326333" w:history="1">
            <w:r w:rsidRPr="003C13D6">
              <w:rPr>
                <w:rStyle w:val="-"/>
                <w:rFonts w:ascii="Times New Roman" w:hAnsi="Times New Roman" w:cs="Times New Roman"/>
                <w:b/>
              </w:rPr>
              <w:t>Α. Υπαγωγή ΒΙΠΕ του Ν.4458/1965 στις διατάξεις του Ν.4982/2022</w:t>
            </w:r>
            <w:r>
              <w:rPr>
                <w:webHidden/>
              </w:rPr>
              <w:tab/>
            </w:r>
            <w:r>
              <w:rPr>
                <w:webHidden/>
              </w:rPr>
              <w:fldChar w:fldCharType="begin"/>
            </w:r>
            <w:r>
              <w:rPr>
                <w:webHidden/>
              </w:rPr>
              <w:instrText xml:space="preserve"> PAGEREF _Toc145326333 \h </w:instrText>
            </w:r>
            <w:r>
              <w:rPr>
                <w:webHidden/>
              </w:rPr>
            </w:r>
            <w:r>
              <w:rPr>
                <w:webHidden/>
              </w:rPr>
              <w:fldChar w:fldCharType="separate"/>
            </w:r>
            <w:r>
              <w:rPr>
                <w:webHidden/>
              </w:rPr>
              <w:t>10</w:t>
            </w:r>
            <w:r>
              <w:rPr>
                <w:webHidden/>
              </w:rPr>
              <w:fldChar w:fldCharType="end"/>
            </w:r>
          </w:hyperlink>
        </w:p>
        <w:p w14:paraId="233E8267" w14:textId="039B946C" w:rsidR="00041AB4" w:rsidRDefault="00041AB4">
          <w:pPr>
            <w:pStyle w:val="26"/>
            <w:rPr>
              <w:rFonts w:asciiTheme="minorHAnsi" w:eastAsiaTheme="minorEastAsia" w:hAnsiTheme="minorHAnsi" w:cstheme="minorBidi"/>
              <w:bCs w:val="0"/>
              <w:kern w:val="2"/>
              <w:lang w:eastAsia="el-GR"/>
              <w14:ligatures w14:val="standardContextual"/>
            </w:rPr>
          </w:pPr>
          <w:hyperlink w:anchor="_Toc145326334" w:history="1">
            <w:r w:rsidRPr="003C13D6">
              <w:rPr>
                <w:rStyle w:val="-"/>
                <w:rFonts w:ascii="Times New Roman" w:hAnsi="Times New Roman" w:cs="Times New Roman"/>
                <w:b/>
              </w:rPr>
              <w:t>Β. Ανάρτηση των νέων Κανονισμών Λειτουργίας των Πάρκων/ΒΙΠΕ της ΕΤΒΑ ΒΙΠΕ ΑΕ</w:t>
            </w:r>
            <w:r>
              <w:rPr>
                <w:webHidden/>
              </w:rPr>
              <w:tab/>
            </w:r>
            <w:r>
              <w:rPr>
                <w:webHidden/>
              </w:rPr>
              <w:fldChar w:fldCharType="begin"/>
            </w:r>
            <w:r>
              <w:rPr>
                <w:webHidden/>
              </w:rPr>
              <w:instrText xml:space="preserve"> PAGEREF _Toc145326334 \h </w:instrText>
            </w:r>
            <w:r>
              <w:rPr>
                <w:webHidden/>
              </w:rPr>
            </w:r>
            <w:r>
              <w:rPr>
                <w:webHidden/>
              </w:rPr>
              <w:fldChar w:fldCharType="separate"/>
            </w:r>
            <w:r>
              <w:rPr>
                <w:webHidden/>
              </w:rPr>
              <w:t>11</w:t>
            </w:r>
            <w:r>
              <w:rPr>
                <w:webHidden/>
              </w:rPr>
              <w:fldChar w:fldCharType="end"/>
            </w:r>
          </w:hyperlink>
        </w:p>
        <w:p w14:paraId="301D697C" w14:textId="014A41D0" w:rsidR="00041AB4" w:rsidRDefault="00041AB4">
          <w:pPr>
            <w:pStyle w:val="16"/>
            <w:rPr>
              <w:rFonts w:asciiTheme="minorHAnsi" w:eastAsiaTheme="minorEastAsia" w:hAnsiTheme="minorHAnsi" w:cstheme="minorBidi"/>
              <w:b w:val="0"/>
              <w:bCs w:val="0"/>
              <w:kern w:val="2"/>
              <w:lang w:eastAsia="el-GR"/>
              <w14:ligatures w14:val="standardContextual"/>
            </w:rPr>
          </w:pPr>
          <w:hyperlink w:anchor="_Toc145326335" w:history="1">
            <w:r w:rsidRPr="003C13D6">
              <w:rPr>
                <w:rStyle w:val="-"/>
              </w:rPr>
              <w:t>4.</w:t>
            </w:r>
            <w:r>
              <w:rPr>
                <w:rFonts w:asciiTheme="minorHAnsi" w:eastAsiaTheme="minorEastAsia" w:hAnsiTheme="minorHAnsi" w:cstheme="minorBidi"/>
                <w:b w:val="0"/>
                <w:bCs w:val="0"/>
                <w:kern w:val="2"/>
                <w:lang w:eastAsia="el-GR"/>
                <w14:ligatures w14:val="standardContextual"/>
              </w:rPr>
              <w:tab/>
            </w:r>
            <w:r w:rsidRPr="003C13D6">
              <w:rPr>
                <w:rStyle w:val="-"/>
              </w:rPr>
              <w:t>ΘΕΜΑΤΑ ΥΓΕΙΑΣ &amp; ΑΣΦΑΛΕΙΑΣ ΣΤΗΝ ΕΡΓΑΣΙΑ</w:t>
            </w:r>
            <w:r>
              <w:rPr>
                <w:webHidden/>
              </w:rPr>
              <w:tab/>
            </w:r>
            <w:r>
              <w:rPr>
                <w:webHidden/>
              </w:rPr>
              <w:fldChar w:fldCharType="begin"/>
            </w:r>
            <w:r>
              <w:rPr>
                <w:webHidden/>
              </w:rPr>
              <w:instrText xml:space="preserve"> PAGEREF _Toc145326335 \h </w:instrText>
            </w:r>
            <w:r>
              <w:rPr>
                <w:webHidden/>
              </w:rPr>
            </w:r>
            <w:r>
              <w:rPr>
                <w:webHidden/>
              </w:rPr>
              <w:fldChar w:fldCharType="separate"/>
            </w:r>
            <w:r>
              <w:rPr>
                <w:webHidden/>
              </w:rPr>
              <w:t>16</w:t>
            </w:r>
            <w:r>
              <w:rPr>
                <w:webHidden/>
              </w:rPr>
              <w:fldChar w:fldCharType="end"/>
            </w:r>
          </w:hyperlink>
        </w:p>
        <w:p w14:paraId="73647922" w14:textId="775EAFBF" w:rsidR="00041AB4" w:rsidRDefault="00041AB4">
          <w:pPr>
            <w:pStyle w:val="26"/>
            <w:rPr>
              <w:rFonts w:asciiTheme="minorHAnsi" w:eastAsiaTheme="minorEastAsia" w:hAnsiTheme="minorHAnsi" w:cstheme="minorBidi"/>
              <w:bCs w:val="0"/>
              <w:kern w:val="2"/>
              <w:lang w:eastAsia="el-GR"/>
              <w14:ligatures w14:val="standardContextual"/>
            </w:rPr>
          </w:pPr>
          <w:hyperlink w:anchor="_Toc145326336" w:history="1">
            <w:r w:rsidRPr="003C13D6">
              <w:rPr>
                <w:rStyle w:val="-"/>
                <w:rFonts w:ascii="Times New Roman" w:hAnsi="Times New Roman" w:cs="Times New Roman"/>
                <w:b/>
              </w:rPr>
              <w:t>Α. Η Αξία των Ελέγχων Ασφαλείας (Safety Audits)</w:t>
            </w:r>
            <w:r>
              <w:rPr>
                <w:webHidden/>
              </w:rPr>
              <w:tab/>
            </w:r>
            <w:r>
              <w:rPr>
                <w:webHidden/>
              </w:rPr>
              <w:fldChar w:fldCharType="begin"/>
            </w:r>
            <w:r>
              <w:rPr>
                <w:webHidden/>
              </w:rPr>
              <w:instrText xml:space="preserve"> PAGEREF _Toc145326336 \h </w:instrText>
            </w:r>
            <w:r>
              <w:rPr>
                <w:webHidden/>
              </w:rPr>
            </w:r>
            <w:r>
              <w:rPr>
                <w:webHidden/>
              </w:rPr>
              <w:fldChar w:fldCharType="separate"/>
            </w:r>
            <w:r>
              <w:rPr>
                <w:webHidden/>
              </w:rPr>
              <w:t>16</w:t>
            </w:r>
            <w:r>
              <w:rPr>
                <w:webHidden/>
              </w:rPr>
              <w:fldChar w:fldCharType="end"/>
            </w:r>
          </w:hyperlink>
        </w:p>
        <w:p w14:paraId="70880B4E" w14:textId="2F319D56" w:rsidR="00041AB4" w:rsidRDefault="00041AB4">
          <w:pPr>
            <w:pStyle w:val="16"/>
            <w:rPr>
              <w:rFonts w:asciiTheme="minorHAnsi" w:eastAsiaTheme="minorEastAsia" w:hAnsiTheme="minorHAnsi" w:cstheme="minorBidi"/>
              <w:b w:val="0"/>
              <w:bCs w:val="0"/>
              <w:kern w:val="2"/>
              <w:lang w:eastAsia="el-GR"/>
              <w14:ligatures w14:val="standardContextual"/>
            </w:rPr>
          </w:pPr>
          <w:hyperlink w:anchor="_Toc145326337" w:history="1">
            <w:r w:rsidRPr="003C13D6">
              <w:rPr>
                <w:rStyle w:val="-"/>
              </w:rPr>
              <w:t>5.</w:t>
            </w:r>
            <w:r>
              <w:rPr>
                <w:rFonts w:asciiTheme="minorHAnsi" w:eastAsiaTheme="minorEastAsia" w:hAnsiTheme="minorHAnsi" w:cstheme="minorBidi"/>
                <w:b w:val="0"/>
                <w:bCs w:val="0"/>
                <w:kern w:val="2"/>
                <w:lang w:eastAsia="el-GR"/>
                <w14:ligatures w14:val="standardContextual"/>
              </w:rPr>
              <w:tab/>
            </w:r>
            <w:r w:rsidRPr="003C13D6">
              <w:rPr>
                <w:rStyle w:val="-"/>
              </w:rPr>
              <w:t>ΘΕΜΑΤΑ MARKETING, ΕΜΠΟΡΙΟΥ, ΕΠΙΧΕΙΡΗΜΑΤΙΚΟΤΗΤΑΣ, ΣΤΡΑΤΗΓΙΚΟΥ ΣΧΕΔΙΑΣΜΟΥ ΚΑΙ ΑΝΑΠΤΥΞΗΣ ΑΓΟΡΩΝ</w:t>
            </w:r>
            <w:r>
              <w:rPr>
                <w:webHidden/>
              </w:rPr>
              <w:tab/>
            </w:r>
            <w:r>
              <w:rPr>
                <w:webHidden/>
              </w:rPr>
              <w:fldChar w:fldCharType="begin"/>
            </w:r>
            <w:r>
              <w:rPr>
                <w:webHidden/>
              </w:rPr>
              <w:instrText xml:space="preserve"> PAGEREF _Toc145326337 \h </w:instrText>
            </w:r>
            <w:r>
              <w:rPr>
                <w:webHidden/>
              </w:rPr>
            </w:r>
            <w:r>
              <w:rPr>
                <w:webHidden/>
              </w:rPr>
              <w:fldChar w:fldCharType="separate"/>
            </w:r>
            <w:r>
              <w:rPr>
                <w:webHidden/>
              </w:rPr>
              <w:t>18</w:t>
            </w:r>
            <w:r>
              <w:rPr>
                <w:webHidden/>
              </w:rPr>
              <w:fldChar w:fldCharType="end"/>
            </w:r>
          </w:hyperlink>
        </w:p>
        <w:p w14:paraId="2E269637" w14:textId="5891E133" w:rsidR="00041AB4" w:rsidRDefault="00041AB4">
          <w:pPr>
            <w:pStyle w:val="26"/>
            <w:rPr>
              <w:rFonts w:asciiTheme="minorHAnsi" w:eastAsiaTheme="minorEastAsia" w:hAnsiTheme="minorHAnsi" w:cstheme="minorBidi"/>
              <w:bCs w:val="0"/>
              <w:kern w:val="2"/>
              <w:lang w:eastAsia="el-GR"/>
              <w14:ligatures w14:val="standardContextual"/>
            </w:rPr>
          </w:pPr>
          <w:hyperlink w:anchor="_Toc145326338" w:history="1">
            <w:r w:rsidRPr="003C13D6">
              <w:rPr>
                <w:rStyle w:val="-"/>
                <w:rFonts w:ascii="Times New Roman" w:hAnsi="Times New Roman" w:cs="Times New Roman"/>
                <w:b/>
              </w:rPr>
              <w:t>Α. Η Στρατηγική Marketing σε 7 βήματα (marketing strategy)</w:t>
            </w:r>
            <w:r>
              <w:rPr>
                <w:webHidden/>
              </w:rPr>
              <w:tab/>
            </w:r>
            <w:r>
              <w:rPr>
                <w:webHidden/>
              </w:rPr>
              <w:fldChar w:fldCharType="begin"/>
            </w:r>
            <w:r>
              <w:rPr>
                <w:webHidden/>
              </w:rPr>
              <w:instrText xml:space="preserve"> PAGEREF _Toc145326338 \h </w:instrText>
            </w:r>
            <w:r>
              <w:rPr>
                <w:webHidden/>
              </w:rPr>
            </w:r>
            <w:r>
              <w:rPr>
                <w:webHidden/>
              </w:rPr>
              <w:fldChar w:fldCharType="separate"/>
            </w:r>
            <w:r>
              <w:rPr>
                <w:webHidden/>
              </w:rPr>
              <w:t>18</w:t>
            </w:r>
            <w:r>
              <w:rPr>
                <w:webHidden/>
              </w:rPr>
              <w:fldChar w:fldCharType="end"/>
            </w:r>
          </w:hyperlink>
        </w:p>
        <w:p w14:paraId="195D7E98" w14:textId="233582EE" w:rsidR="00041AB4" w:rsidRDefault="00041AB4">
          <w:pPr>
            <w:pStyle w:val="16"/>
            <w:rPr>
              <w:rFonts w:asciiTheme="minorHAnsi" w:eastAsiaTheme="minorEastAsia" w:hAnsiTheme="minorHAnsi" w:cstheme="minorBidi"/>
              <w:b w:val="0"/>
              <w:bCs w:val="0"/>
              <w:kern w:val="2"/>
              <w:lang w:eastAsia="el-GR"/>
              <w14:ligatures w14:val="standardContextual"/>
            </w:rPr>
          </w:pPr>
          <w:hyperlink w:anchor="_Toc145326339" w:history="1">
            <w:r w:rsidRPr="003C13D6">
              <w:rPr>
                <w:rStyle w:val="-"/>
              </w:rPr>
              <w:t>6.</w:t>
            </w:r>
            <w:r>
              <w:rPr>
                <w:rFonts w:asciiTheme="minorHAnsi" w:eastAsiaTheme="minorEastAsia" w:hAnsiTheme="minorHAnsi" w:cstheme="minorBidi"/>
                <w:b w:val="0"/>
                <w:bCs w:val="0"/>
                <w:kern w:val="2"/>
                <w:lang w:eastAsia="el-GR"/>
                <w14:ligatures w14:val="standardContextual"/>
              </w:rPr>
              <w:tab/>
            </w:r>
            <w:r w:rsidRPr="003C13D6">
              <w:rPr>
                <w:rStyle w:val="-"/>
              </w:rPr>
              <w:t>ΘΕΜΑΤΑ ΨΗΦΙΑΚΟΥ ΜΕΤΑΣΧΗΜΑΤΙΣΜΟΥ</w:t>
            </w:r>
            <w:r>
              <w:rPr>
                <w:webHidden/>
              </w:rPr>
              <w:tab/>
            </w:r>
            <w:r>
              <w:rPr>
                <w:webHidden/>
              </w:rPr>
              <w:fldChar w:fldCharType="begin"/>
            </w:r>
            <w:r>
              <w:rPr>
                <w:webHidden/>
              </w:rPr>
              <w:instrText xml:space="preserve"> PAGEREF _Toc145326339 \h </w:instrText>
            </w:r>
            <w:r>
              <w:rPr>
                <w:webHidden/>
              </w:rPr>
            </w:r>
            <w:r>
              <w:rPr>
                <w:webHidden/>
              </w:rPr>
              <w:fldChar w:fldCharType="separate"/>
            </w:r>
            <w:r>
              <w:rPr>
                <w:webHidden/>
              </w:rPr>
              <w:t>20</w:t>
            </w:r>
            <w:r>
              <w:rPr>
                <w:webHidden/>
              </w:rPr>
              <w:fldChar w:fldCharType="end"/>
            </w:r>
          </w:hyperlink>
        </w:p>
        <w:p w14:paraId="32CE530E" w14:textId="52ED22F8" w:rsidR="00041AB4" w:rsidRDefault="00041AB4">
          <w:pPr>
            <w:pStyle w:val="26"/>
            <w:rPr>
              <w:rFonts w:asciiTheme="minorHAnsi" w:eastAsiaTheme="minorEastAsia" w:hAnsiTheme="minorHAnsi" w:cstheme="minorBidi"/>
              <w:bCs w:val="0"/>
              <w:kern w:val="2"/>
              <w:lang w:eastAsia="el-GR"/>
              <w14:ligatures w14:val="standardContextual"/>
            </w:rPr>
          </w:pPr>
          <w:hyperlink w:anchor="_Toc145326340" w:history="1">
            <w:r w:rsidRPr="003C13D6">
              <w:rPr>
                <w:rStyle w:val="-"/>
                <w:rFonts w:ascii="Times New Roman" w:hAnsi="Times New Roman" w:cs="Times New Roman"/>
                <w:b/>
              </w:rPr>
              <w:t>Α. Η Ευρωπαϊκή Επιτροπή προωθεί την κοινοχρησία δεδομένων &amp; την καινοτομία για ένα έξυπνο, βιώσιμο και ανθεκτικό τουριστικό οικοσύστημα της ΕΕ</w:t>
            </w:r>
            <w:r>
              <w:rPr>
                <w:webHidden/>
              </w:rPr>
              <w:tab/>
            </w:r>
            <w:r>
              <w:rPr>
                <w:webHidden/>
              </w:rPr>
              <w:fldChar w:fldCharType="begin"/>
            </w:r>
            <w:r>
              <w:rPr>
                <w:webHidden/>
              </w:rPr>
              <w:instrText xml:space="preserve"> PAGEREF _Toc145326340 \h </w:instrText>
            </w:r>
            <w:r>
              <w:rPr>
                <w:webHidden/>
              </w:rPr>
            </w:r>
            <w:r>
              <w:rPr>
                <w:webHidden/>
              </w:rPr>
              <w:fldChar w:fldCharType="separate"/>
            </w:r>
            <w:r>
              <w:rPr>
                <w:webHidden/>
              </w:rPr>
              <w:t>20</w:t>
            </w:r>
            <w:r>
              <w:rPr>
                <w:webHidden/>
              </w:rPr>
              <w:fldChar w:fldCharType="end"/>
            </w:r>
          </w:hyperlink>
        </w:p>
        <w:p w14:paraId="6251AC8E" w14:textId="3054FEA7" w:rsidR="001F66DA" w:rsidRPr="00752A76" w:rsidRDefault="008D455D" w:rsidP="000D13E4">
          <w:pPr>
            <w:pStyle w:val="26"/>
            <w:rPr>
              <w:rFonts w:ascii="Times New Roman" w:hAnsi="Times New Roman" w:cs="Times New Roman"/>
              <w:sz w:val="24"/>
              <w:szCs w:val="24"/>
            </w:rPr>
            <w:sectPr w:rsidR="001F66DA" w:rsidRPr="00752A76" w:rsidSect="00C142C6">
              <w:headerReference w:type="default" r:id="rId8"/>
              <w:footerReference w:type="default" r:id="rId9"/>
              <w:headerReference w:type="first" r:id="rId10"/>
              <w:footerReference w:type="first" r:id="rId11"/>
              <w:pgSz w:w="11906" w:h="16838"/>
              <w:pgMar w:top="1843" w:right="1558" w:bottom="1440" w:left="1800" w:header="709" w:footer="708" w:gutter="0"/>
              <w:cols w:space="708"/>
              <w:titlePg/>
              <w:docGrid w:linePitch="360"/>
            </w:sectPr>
          </w:pPr>
          <w:r w:rsidRPr="00F55FBC">
            <w:rPr>
              <w:rFonts w:ascii="Times New Roman" w:hAnsi="Times New Roman" w:cs="Times New Roman"/>
              <w:sz w:val="24"/>
              <w:szCs w:val="24"/>
            </w:rPr>
            <w:fldChar w:fldCharType="end"/>
          </w:r>
        </w:p>
      </w:sdtContent>
    </w:sdt>
    <w:p w14:paraId="553EE6C1" w14:textId="77777777" w:rsidR="007E35F2" w:rsidRPr="00957288" w:rsidRDefault="007E35F2" w:rsidP="006706DE">
      <w:pPr>
        <w:pStyle w:val="10"/>
        <w:numPr>
          <w:ilvl w:val="8"/>
          <w:numId w:val="9"/>
        </w:numPr>
        <w:shd w:val="clear" w:color="auto" w:fill="D9E2F3" w:themeFill="accent1" w:themeFillTint="33"/>
        <w:spacing w:before="240" w:after="120" w:line="288" w:lineRule="auto"/>
        <w:ind w:left="0" w:right="43" w:firstLine="0"/>
        <w:jc w:val="center"/>
      </w:pPr>
      <w:bookmarkStart w:id="0" w:name="_Toc127284520"/>
      <w:bookmarkStart w:id="1" w:name="_Toc145326328"/>
      <w:r w:rsidRPr="00957288">
        <w:lastRenderedPageBreak/>
        <w:t>ΘΕΜΑΤΑ ΑΝΑΠΤΥΞΙΑΚΩΝ – ΧΡΗΜΑΤΟΔΟΤΙΚΩΝ ΠΡΟΓΡΑΜΜΑΤΩΝ</w:t>
      </w:r>
      <w:bookmarkEnd w:id="0"/>
      <w:bookmarkEnd w:id="1"/>
    </w:p>
    <w:p w14:paraId="69274B55" w14:textId="23DF619A" w:rsidR="007E35F2" w:rsidRDefault="007E35F2" w:rsidP="00026D85">
      <w:pPr>
        <w:pStyle w:val="20"/>
        <w:shd w:val="clear" w:color="auto" w:fill="D9D9D9" w:themeFill="background1" w:themeFillShade="D9"/>
        <w:spacing w:before="120" w:after="120" w:line="360" w:lineRule="auto"/>
        <w:ind w:right="45"/>
        <w:jc w:val="center"/>
        <w:rPr>
          <w:rFonts w:ascii="Times New Roman" w:hAnsi="Times New Roman" w:cs="Times New Roman"/>
          <w:b/>
          <w:bCs/>
          <w:color w:val="auto"/>
          <w:sz w:val="24"/>
          <w:szCs w:val="24"/>
        </w:rPr>
      </w:pPr>
      <w:bookmarkStart w:id="2" w:name="_Toc127284521"/>
      <w:bookmarkStart w:id="3" w:name="_Toc145326329"/>
      <w:r w:rsidRPr="00957288">
        <w:rPr>
          <w:rFonts w:ascii="Times New Roman" w:hAnsi="Times New Roman" w:cs="Times New Roman"/>
          <w:b/>
          <w:bCs/>
          <w:color w:val="auto"/>
          <w:sz w:val="24"/>
          <w:szCs w:val="24"/>
        </w:rPr>
        <w:t xml:space="preserve">Α. </w:t>
      </w:r>
      <w:bookmarkEnd w:id="2"/>
      <w:r w:rsidR="00026D85" w:rsidRPr="00026D85">
        <w:rPr>
          <w:rFonts w:ascii="Times New Roman" w:hAnsi="Times New Roman" w:cs="Times New Roman"/>
          <w:b/>
          <w:bCs/>
          <w:color w:val="auto"/>
          <w:sz w:val="24"/>
          <w:szCs w:val="24"/>
        </w:rPr>
        <w:t>«Ενίσχυση της ίδρυσης και λειτουργίας νέων μικρομεσαίων επιχειρήσεων»</w:t>
      </w:r>
      <w:bookmarkEnd w:id="3"/>
    </w:p>
    <w:p w14:paraId="13E00EC0" w14:textId="77777777" w:rsidR="00026D85" w:rsidRDefault="00026D85" w:rsidP="00026D85">
      <w:pPr>
        <w:pStyle w:val="af0"/>
      </w:pPr>
      <w:r w:rsidRPr="00026D85">
        <w:t xml:space="preserve">Η τρίτη Δράση του προγράμματος «Ανταγωνιστικότητα» </w:t>
      </w:r>
      <w:r>
        <w:t>για</w:t>
      </w:r>
      <w:r w:rsidRPr="00026D85">
        <w:t xml:space="preserve"> </w:t>
      </w:r>
      <w:r>
        <w:t>την</w:t>
      </w:r>
      <w:r w:rsidRPr="00026D85">
        <w:t xml:space="preserve"> </w:t>
      </w:r>
      <w:r>
        <w:t>Προγραμματική</w:t>
      </w:r>
      <w:r w:rsidRPr="00026D85">
        <w:t xml:space="preserve"> </w:t>
      </w:r>
      <w:r>
        <w:t>Περίοδο</w:t>
      </w:r>
      <w:r w:rsidRPr="00026D85">
        <w:t xml:space="preserve"> </w:t>
      </w:r>
      <w:r>
        <w:t>2021-</w:t>
      </w:r>
      <w:r w:rsidRPr="00026D85">
        <w:t xml:space="preserve"> </w:t>
      </w:r>
      <w:r>
        <w:t>2027</w:t>
      </w:r>
      <w:r w:rsidRPr="00026D85">
        <w:t xml:space="preserve"> </w:t>
      </w:r>
      <w:r>
        <w:t>αναμένεται</w:t>
      </w:r>
      <w:r w:rsidRPr="00026D85">
        <w:t xml:space="preserve"> </w:t>
      </w:r>
      <w:r>
        <w:t>να</w:t>
      </w:r>
      <w:r w:rsidRPr="00026D85">
        <w:t xml:space="preserve"> </w:t>
      </w:r>
      <w:r>
        <w:t>είναι</w:t>
      </w:r>
      <w:r w:rsidRPr="00026D85">
        <w:t xml:space="preserve"> </w:t>
      </w:r>
      <w:r>
        <w:t>η</w:t>
      </w:r>
      <w:r w:rsidRPr="00026D85">
        <w:t xml:space="preserve"> </w:t>
      </w:r>
      <w:r>
        <w:t>«</w:t>
      </w:r>
      <w:r w:rsidRPr="00026D85">
        <w:rPr>
          <w:b/>
          <w:bCs w:val="0"/>
        </w:rPr>
        <w:t>Ενίσχυση της ίδρυσης και λειτουργίας νέων μικρομεσαίων επιχειρήσεων</w:t>
      </w:r>
      <w:r>
        <w:t>». Σύμφωνα με πληροφορίες που προέρχονται από το αρμόδιο Υπουργείο, ο</w:t>
      </w:r>
      <w:r w:rsidRPr="00026D85">
        <w:t xml:space="preserve"> </w:t>
      </w:r>
      <w:r>
        <w:t>προϋπολογισμός της Δράσης θα ανέρχεται στα 300 εκατ. ευρώ και θα απευθύνεται σε υπό</w:t>
      </w:r>
      <w:r w:rsidRPr="00026D85">
        <w:t xml:space="preserve"> </w:t>
      </w:r>
      <w:r>
        <w:t>ίδρυση και νεοσύστατες μικρομεσαίες επιχειρήσεις σε ολόκληρη την ελληνική επικράτεια, με</w:t>
      </w:r>
      <w:r w:rsidRPr="00026D85">
        <w:t xml:space="preserve"> στόχο την ανάπτυξη ποιοτικών δραστηριοτήτων, την αύξηση της </w:t>
      </w:r>
      <w:r>
        <w:t>απασχόλησης,</w:t>
      </w:r>
      <w:r w:rsidRPr="00026D85">
        <w:t xml:space="preserve"> </w:t>
      </w:r>
      <w:r>
        <w:t>την</w:t>
      </w:r>
      <w:r w:rsidRPr="00026D85">
        <w:t xml:space="preserve"> </w:t>
      </w:r>
      <w:r>
        <w:t>αύξηση</w:t>
      </w:r>
      <w:r w:rsidRPr="00026D85">
        <w:t xml:space="preserve"> </w:t>
      </w:r>
      <w:r>
        <w:t>της</w:t>
      </w:r>
      <w:r w:rsidRPr="00026D85">
        <w:t xml:space="preserve"> </w:t>
      </w:r>
      <w:r>
        <w:t>εγχώριας</w:t>
      </w:r>
      <w:r w:rsidRPr="00026D85">
        <w:t xml:space="preserve"> </w:t>
      </w:r>
      <w:r>
        <w:t>παραγωγικής</w:t>
      </w:r>
      <w:r w:rsidRPr="00026D85">
        <w:t xml:space="preserve"> </w:t>
      </w:r>
      <w:r>
        <w:t>δυναμικότητας</w:t>
      </w:r>
      <w:r w:rsidRPr="00026D85">
        <w:t xml:space="preserve"> </w:t>
      </w:r>
      <w:r>
        <w:t>και</w:t>
      </w:r>
      <w:r w:rsidRPr="00026D85">
        <w:t xml:space="preserve"> </w:t>
      </w:r>
      <w:r>
        <w:t>την</w:t>
      </w:r>
      <w:r w:rsidRPr="00026D85">
        <w:t xml:space="preserve"> </w:t>
      </w:r>
      <w:r>
        <w:t>ενίσχυση</w:t>
      </w:r>
      <w:r w:rsidRPr="00026D85">
        <w:t xml:space="preserve"> </w:t>
      </w:r>
      <w:r>
        <w:t>του</w:t>
      </w:r>
      <w:r w:rsidRPr="00026D85">
        <w:t xml:space="preserve"> </w:t>
      </w:r>
      <w:r>
        <w:t>Ελληνικού</w:t>
      </w:r>
      <w:r w:rsidRPr="00026D85">
        <w:t xml:space="preserve"> </w:t>
      </w:r>
      <w:proofErr w:type="spellStart"/>
      <w:r>
        <w:t>Branding</w:t>
      </w:r>
      <w:proofErr w:type="spellEnd"/>
      <w:r>
        <w:t>.</w:t>
      </w:r>
    </w:p>
    <w:p w14:paraId="02599653" w14:textId="77777777" w:rsidR="00041AB4" w:rsidRDefault="00041AB4" w:rsidP="00026D85">
      <w:pPr>
        <w:pStyle w:val="af0"/>
        <w:rPr>
          <w:b/>
          <w:bCs w:val="0"/>
          <w:color w:val="0070C0"/>
        </w:rPr>
      </w:pPr>
    </w:p>
    <w:p w14:paraId="15A2A6C2" w14:textId="63710855" w:rsidR="00026D85" w:rsidRPr="00026D85" w:rsidRDefault="00026D85" w:rsidP="00026D85">
      <w:pPr>
        <w:pStyle w:val="af0"/>
        <w:rPr>
          <w:b/>
          <w:bCs w:val="0"/>
          <w:color w:val="0070C0"/>
        </w:rPr>
      </w:pPr>
      <w:r w:rsidRPr="00026D85">
        <w:rPr>
          <w:b/>
          <w:bCs w:val="0"/>
          <w:color w:val="0070C0"/>
        </w:rPr>
        <w:t>Προϋπολογισμός επενδυτικών σχεδίων</w:t>
      </w:r>
    </w:p>
    <w:p w14:paraId="1BE40D23" w14:textId="77777777" w:rsidR="00026D85" w:rsidRDefault="00026D85" w:rsidP="00026D85">
      <w:pPr>
        <w:pStyle w:val="af0"/>
      </w:pPr>
      <w:r>
        <w:t>Ο ενισχυόμενος προϋπολογισμός των επενδυτικών σχεδίων θα κυμαίνεται</w:t>
      </w:r>
      <w:r w:rsidRPr="00026D85">
        <w:t xml:space="preserve"> </w:t>
      </w:r>
      <w:r>
        <w:t>από 30.000 έως</w:t>
      </w:r>
      <w:r w:rsidRPr="00026D85">
        <w:t xml:space="preserve"> </w:t>
      </w:r>
      <w:r>
        <w:t>και</w:t>
      </w:r>
      <w:r w:rsidRPr="00026D85">
        <w:t xml:space="preserve"> </w:t>
      </w:r>
      <w:r>
        <w:t>400.000</w:t>
      </w:r>
      <w:r w:rsidRPr="00026D85">
        <w:t xml:space="preserve"> </w:t>
      </w:r>
      <w:r>
        <w:t>ευρώ</w:t>
      </w:r>
      <w:r w:rsidRPr="00026D85">
        <w:t xml:space="preserve"> </w:t>
      </w:r>
      <w:r>
        <w:t>και</w:t>
      </w:r>
      <w:r w:rsidRPr="00026D85">
        <w:t xml:space="preserve"> </w:t>
      </w:r>
      <w:r>
        <w:t>θα</w:t>
      </w:r>
      <w:r w:rsidRPr="00026D85">
        <w:t xml:space="preserve"> </w:t>
      </w:r>
      <w:r>
        <w:t>διαμορφώνεται,</w:t>
      </w:r>
      <w:r w:rsidRPr="00026D85">
        <w:t xml:space="preserve"> </w:t>
      </w:r>
      <w:r>
        <w:t>με</w:t>
      </w:r>
      <w:r w:rsidRPr="00026D85">
        <w:t xml:space="preserve"> </w:t>
      </w:r>
      <w:r>
        <w:t>ακρίβεια,</w:t>
      </w:r>
      <w:r w:rsidRPr="00026D85">
        <w:t xml:space="preserve"> </w:t>
      </w:r>
      <w:r>
        <w:t>βάσει</w:t>
      </w:r>
      <w:r w:rsidRPr="00026D85">
        <w:t xml:space="preserve"> </w:t>
      </w:r>
      <w:r>
        <w:t>κλάδου:</w:t>
      </w:r>
    </w:p>
    <w:p w14:paraId="16D8B515" w14:textId="77777777" w:rsidR="00026D85" w:rsidRPr="00026D85" w:rsidRDefault="00026D85" w:rsidP="00026D85">
      <w:pPr>
        <w:pStyle w:val="af0"/>
        <w:numPr>
          <w:ilvl w:val="0"/>
          <w:numId w:val="34"/>
        </w:numPr>
      </w:pPr>
      <w:r w:rsidRPr="00026D85">
        <w:t>Στη μεταποίηση και στον τουρισμό ο επιχορηγούμενος προϋπολογισμός κυμαίνεται από 30.000 έως 400.000 ευρώ, με την επιχορήγηση να φτάνει μέχρι τις 200.000 ευρώ</w:t>
      </w:r>
    </w:p>
    <w:p w14:paraId="12A7B768" w14:textId="77777777" w:rsidR="00026D85" w:rsidRPr="00026D85" w:rsidRDefault="00026D85" w:rsidP="00026D85">
      <w:pPr>
        <w:pStyle w:val="af0"/>
        <w:numPr>
          <w:ilvl w:val="0"/>
          <w:numId w:val="34"/>
        </w:numPr>
      </w:pPr>
      <w:r w:rsidRPr="00026D85">
        <w:t>Για τις επιχειρήσεις που δραστηριοποιούνται είτε στο εμπόριο είτε στις υπηρεσίες ο επιχορηγούμενος προϋπολογισμός κυμαίνεται, αντίστοιχα, από 15.000 έως 100.000 ευρώ, με το ανώτερο όριο της επιχορήγησης να είναι στις 55.000€.</w:t>
      </w:r>
    </w:p>
    <w:p w14:paraId="14932EE8" w14:textId="77777777" w:rsidR="00041AB4" w:rsidRDefault="00041AB4" w:rsidP="00026D85">
      <w:pPr>
        <w:pStyle w:val="af0"/>
        <w:rPr>
          <w:b/>
          <w:bCs w:val="0"/>
          <w:color w:val="0070C0"/>
        </w:rPr>
      </w:pPr>
    </w:p>
    <w:p w14:paraId="4733BCEA" w14:textId="41E8A1C7" w:rsidR="00026D85" w:rsidRPr="00026D85" w:rsidRDefault="00026D85" w:rsidP="00026D85">
      <w:pPr>
        <w:pStyle w:val="af0"/>
        <w:rPr>
          <w:b/>
          <w:bCs w:val="0"/>
          <w:color w:val="0070C0"/>
        </w:rPr>
      </w:pPr>
      <w:r w:rsidRPr="00026D85">
        <w:rPr>
          <w:b/>
          <w:bCs w:val="0"/>
          <w:color w:val="0070C0"/>
        </w:rPr>
        <w:t>Προϋποθέσεις ένταξης</w:t>
      </w:r>
    </w:p>
    <w:p w14:paraId="26E33653" w14:textId="77777777" w:rsidR="00026D85" w:rsidRDefault="00026D85" w:rsidP="00026D85">
      <w:pPr>
        <w:pStyle w:val="af0"/>
      </w:pPr>
      <w:r>
        <w:t>Αναφορικά</w:t>
      </w:r>
      <w:r w:rsidRPr="00026D85">
        <w:t xml:space="preserve"> </w:t>
      </w:r>
      <w:r>
        <w:t>με</w:t>
      </w:r>
      <w:r w:rsidRPr="00026D85">
        <w:t xml:space="preserve"> </w:t>
      </w:r>
      <w:r>
        <w:t>τη</w:t>
      </w:r>
      <w:r w:rsidRPr="00026D85">
        <w:t xml:space="preserve"> </w:t>
      </w:r>
      <w:r>
        <w:t>διαδικασία</w:t>
      </w:r>
      <w:r w:rsidRPr="00026D85">
        <w:t xml:space="preserve"> </w:t>
      </w:r>
      <w:r>
        <w:t>ένταξης</w:t>
      </w:r>
      <w:r w:rsidRPr="00026D85">
        <w:t xml:space="preserve"> </w:t>
      </w:r>
      <w:r>
        <w:t>στη</w:t>
      </w:r>
      <w:r w:rsidRPr="00026D85">
        <w:t xml:space="preserve"> </w:t>
      </w:r>
      <w:r>
        <w:t>Δράση,</w:t>
      </w:r>
      <w:r w:rsidRPr="00026D85">
        <w:t xml:space="preserve"> </w:t>
      </w:r>
      <w:r>
        <w:t>εκτιμάται</w:t>
      </w:r>
      <w:r w:rsidRPr="00026D85">
        <w:t xml:space="preserve"> </w:t>
      </w:r>
      <w:r>
        <w:t>ότι</w:t>
      </w:r>
      <w:r w:rsidRPr="00026D85">
        <w:t xml:space="preserve"> </w:t>
      </w:r>
      <w:r>
        <w:t>θα</w:t>
      </w:r>
      <w:r w:rsidRPr="00026D85">
        <w:t xml:space="preserve"> </w:t>
      </w:r>
      <w:r>
        <w:t>έχουν</w:t>
      </w:r>
      <w:r w:rsidRPr="00026D85">
        <w:t xml:space="preserve"> </w:t>
      </w:r>
      <w:r>
        <w:t>δικαίωμα</w:t>
      </w:r>
      <w:r w:rsidRPr="00026D85">
        <w:t xml:space="preserve"> </w:t>
      </w:r>
      <w:r>
        <w:t>υποβολής</w:t>
      </w:r>
      <w:r w:rsidRPr="00026D85">
        <w:t xml:space="preserve"> </w:t>
      </w:r>
      <w:r>
        <w:t>αίτησης υπαγωγής οι υπό ίδρυση και οι νεοσύστατες εταιρίες (χωρίς πλήρη διαχειριστική</w:t>
      </w:r>
      <w:r w:rsidRPr="00026D85">
        <w:t xml:space="preserve"> </w:t>
      </w:r>
      <w:r>
        <w:t>χρήση), οι οποίες θα είναι μεσαίες, μικρές και πολύ μικρές σε μέγεθος. Οι βασικές - τυπικές</w:t>
      </w:r>
      <w:r w:rsidRPr="00026D85">
        <w:t xml:space="preserve"> </w:t>
      </w:r>
      <w:r>
        <w:t>προϋποθέσεις</w:t>
      </w:r>
      <w:r w:rsidRPr="00026D85">
        <w:t xml:space="preserve"> </w:t>
      </w:r>
      <w:r>
        <w:t>συμμετοχής</w:t>
      </w:r>
      <w:r w:rsidRPr="00026D85">
        <w:t xml:space="preserve"> </w:t>
      </w:r>
      <w:r>
        <w:t>των</w:t>
      </w:r>
      <w:r w:rsidRPr="00026D85">
        <w:t xml:space="preserve"> </w:t>
      </w:r>
      <w:r>
        <w:t>δυνητικά</w:t>
      </w:r>
      <w:r w:rsidRPr="00026D85">
        <w:t xml:space="preserve"> </w:t>
      </w:r>
      <w:r>
        <w:t>ωφελούμενων</w:t>
      </w:r>
      <w:r w:rsidRPr="00026D85">
        <w:t xml:space="preserve"> </w:t>
      </w:r>
      <w:r>
        <w:t>επιχειρήσεων</w:t>
      </w:r>
      <w:r w:rsidRPr="00026D85">
        <w:t xml:space="preserve"> </w:t>
      </w:r>
      <w:r>
        <w:t>εκτιμάται</w:t>
      </w:r>
      <w:r w:rsidRPr="00026D85">
        <w:t xml:space="preserve"> </w:t>
      </w:r>
      <w:r>
        <w:t>ότι</w:t>
      </w:r>
      <w:r w:rsidRPr="00026D85">
        <w:t xml:space="preserve"> </w:t>
      </w:r>
      <w:r>
        <w:t>θα</w:t>
      </w:r>
      <w:r w:rsidRPr="00026D85">
        <w:t xml:space="preserve"> </w:t>
      </w:r>
      <w:r>
        <w:t>είναι</w:t>
      </w:r>
      <w:r w:rsidRPr="00026D85">
        <w:t xml:space="preserve"> </w:t>
      </w:r>
      <w:r>
        <w:t>οι ακόλουθες:</w:t>
      </w:r>
    </w:p>
    <w:p w14:paraId="75A7D568" w14:textId="77777777" w:rsidR="00026D85" w:rsidRPr="00026D85" w:rsidRDefault="00026D85" w:rsidP="00026D85">
      <w:pPr>
        <w:pStyle w:val="af0"/>
        <w:numPr>
          <w:ilvl w:val="0"/>
          <w:numId w:val="35"/>
        </w:numPr>
      </w:pPr>
      <w:r w:rsidRPr="00026D85">
        <w:t>Να πραγματοποιήσουν επένδυση αποκλειστικά σε μία Περιφέρεια.</w:t>
      </w:r>
    </w:p>
    <w:p w14:paraId="42B2ED05" w14:textId="77777777" w:rsidR="00026D85" w:rsidRPr="00026D85" w:rsidRDefault="00026D85" w:rsidP="00026D85">
      <w:pPr>
        <w:pStyle w:val="af0"/>
        <w:numPr>
          <w:ilvl w:val="0"/>
          <w:numId w:val="35"/>
        </w:numPr>
      </w:pPr>
      <w:r w:rsidRPr="00026D85">
        <w:t>Να δραστηριοποιηθούν σε επιλέξιμο/</w:t>
      </w:r>
      <w:proofErr w:type="spellStart"/>
      <w:r w:rsidRPr="00026D85">
        <w:t>ους</w:t>
      </w:r>
      <w:proofErr w:type="spellEnd"/>
      <w:r w:rsidRPr="00026D85">
        <w:t xml:space="preserve"> Κωδικούς Αριθμούς Δραστηριότητας (ΚΑΔ), οι οποίοι θα ορισθούν στην αναλυτική πρόσκληση.</w:t>
      </w:r>
    </w:p>
    <w:p w14:paraId="653BA491" w14:textId="77777777" w:rsidR="00026D85" w:rsidRPr="00026D85" w:rsidRDefault="00026D85" w:rsidP="00026D85">
      <w:pPr>
        <w:pStyle w:val="af0"/>
        <w:numPr>
          <w:ilvl w:val="0"/>
          <w:numId w:val="35"/>
        </w:numPr>
      </w:pPr>
      <w:r w:rsidRPr="00026D85">
        <w:t xml:space="preserve">Να προσκομίσουν ακριβή στοιχεία και δεδομένα </w:t>
      </w:r>
      <w:proofErr w:type="spellStart"/>
      <w:r w:rsidRPr="00026D85">
        <w:t>χωροθέτησης</w:t>
      </w:r>
      <w:proofErr w:type="spellEnd"/>
      <w:r w:rsidRPr="00026D85">
        <w:t xml:space="preserve"> του τόπου υλοποίησης της επένδυσης επί συγκεκριμένου ακινήτου (γήπεδο, κτίριο ή άλλου είδους αυτοτελής χώρος).</w:t>
      </w:r>
    </w:p>
    <w:p w14:paraId="3C254104" w14:textId="77777777" w:rsidR="00026D85" w:rsidRPr="00026D85" w:rsidRDefault="00026D85" w:rsidP="00026D85">
      <w:pPr>
        <w:pStyle w:val="af0"/>
        <w:numPr>
          <w:ilvl w:val="0"/>
          <w:numId w:val="35"/>
        </w:numPr>
      </w:pPr>
      <w:r w:rsidRPr="00026D85">
        <w:t>Να προσκομίσουν στοιχεία του ιδιοκτησιακού καθεστώτος του ακινήτου.</w:t>
      </w:r>
    </w:p>
    <w:p w14:paraId="7C3C1755" w14:textId="77777777" w:rsidR="00026D85" w:rsidRPr="00026D85" w:rsidRDefault="00026D85" w:rsidP="00026D85">
      <w:pPr>
        <w:pStyle w:val="af0"/>
        <w:numPr>
          <w:ilvl w:val="0"/>
          <w:numId w:val="35"/>
        </w:numPr>
      </w:pPr>
      <w:r w:rsidRPr="00026D85">
        <w:lastRenderedPageBreak/>
        <w:t>Να προσκομίσουν βεβαίωση χρήσης γης για τον ανωτέρω τόπο υλοποίησης της επένδυσης.</w:t>
      </w:r>
    </w:p>
    <w:p w14:paraId="285812C3" w14:textId="77777777" w:rsidR="00026D85" w:rsidRPr="00026D85" w:rsidRDefault="00026D85" w:rsidP="00026D85">
      <w:pPr>
        <w:pStyle w:val="af0"/>
        <w:numPr>
          <w:ilvl w:val="0"/>
          <w:numId w:val="35"/>
        </w:numPr>
      </w:pPr>
      <w:r w:rsidRPr="00026D85">
        <w:t>Να προσκομίσουν αποδεικτικά στοιχεία εξασφάλισης της ιδιωτικής συμμετοχής, σε ποσοστό τουλάχιστον 60% του προτεινόμενου επιχορηγούμενου προϋπολογισμού του επενδυτικού σχεδίου.</w:t>
      </w:r>
    </w:p>
    <w:p w14:paraId="5DDADD9D" w14:textId="77777777" w:rsidR="00026D85" w:rsidRPr="00026D85" w:rsidRDefault="00026D85" w:rsidP="00026D85">
      <w:pPr>
        <w:pStyle w:val="af0"/>
        <w:numPr>
          <w:ilvl w:val="0"/>
          <w:numId w:val="35"/>
        </w:numPr>
      </w:pPr>
      <w:r w:rsidRPr="00026D85">
        <w:t>Να μην έχει γίνει έναρξη εργασιών για το επενδυτικό σχέδιο πριν την υποβολή της αίτησης χρηματοδότησης.</w:t>
      </w:r>
    </w:p>
    <w:p w14:paraId="3074AFA5" w14:textId="77777777" w:rsidR="00026D85" w:rsidRPr="00026D85" w:rsidRDefault="00026D85" w:rsidP="00026D85">
      <w:pPr>
        <w:pStyle w:val="af0"/>
        <w:numPr>
          <w:ilvl w:val="0"/>
          <w:numId w:val="35"/>
        </w:numPr>
      </w:pPr>
      <w:r w:rsidRPr="00026D85">
        <w:t>Εφόσον η επένδυση αφορά σε τουριστικό κατάλυμα, αυτό να είναι συγκεκριμένης δυναμικότητας και προδιαγραφών που θα προσδιορισθούν στην αναλυτική πρόσκληση.</w:t>
      </w:r>
    </w:p>
    <w:p w14:paraId="07831E18" w14:textId="77777777" w:rsidR="00026D85" w:rsidRPr="00026D85" w:rsidRDefault="00026D85" w:rsidP="00026D85">
      <w:pPr>
        <w:pStyle w:val="af0"/>
        <w:numPr>
          <w:ilvl w:val="0"/>
          <w:numId w:val="35"/>
        </w:numPr>
      </w:pPr>
      <w:r w:rsidRPr="00026D85">
        <w:t>Εφόσον η επένδυση αφορά σε τουριστικές επιπλωμένες κατοικίες, αυτές να είναι τουλάχιστον τρεις στο ίδιο Σήμα ΕΟΤ/Αριθμό ΜΗΤΕ (Μητρώο Τουριστικών Επιχειρήσεων).</w:t>
      </w:r>
    </w:p>
    <w:p w14:paraId="4C262754" w14:textId="77777777" w:rsidR="00026D85" w:rsidRDefault="00026D85" w:rsidP="00026D85">
      <w:pPr>
        <w:pStyle w:val="af0"/>
        <w:numPr>
          <w:ilvl w:val="0"/>
          <w:numId w:val="35"/>
        </w:numPr>
      </w:pPr>
      <w:r w:rsidRPr="00026D85">
        <w:t xml:space="preserve">Να πληρούν τις προϋποθέσεις εφαρμογής του Καν. </w:t>
      </w:r>
      <w:r>
        <w:t>ΕΕ</w:t>
      </w:r>
      <w:r w:rsidRPr="00026D85">
        <w:t xml:space="preserve"> </w:t>
      </w:r>
      <w:r>
        <w:t>1407/2013</w:t>
      </w:r>
      <w:r w:rsidRPr="00026D85">
        <w:t xml:space="preserve"> </w:t>
      </w:r>
      <w:r>
        <w:t>(De</w:t>
      </w:r>
      <w:r w:rsidRPr="00026D85">
        <w:t xml:space="preserve"> </w:t>
      </w:r>
      <w:r>
        <w:t>Minimis).</w:t>
      </w:r>
    </w:p>
    <w:p w14:paraId="2BBC4473" w14:textId="77777777" w:rsidR="00041AB4" w:rsidRDefault="00041AB4" w:rsidP="00026D85">
      <w:pPr>
        <w:pStyle w:val="af0"/>
        <w:rPr>
          <w:b/>
          <w:bCs w:val="0"/>
          <w:color w:val="0070C0"/>
        </w:rPr>
      </w:pPr>
    </w:p>
    <w:p w14:paraId="6EBFAC96" w14:textId="6D7B3C11" w:rsidR="00026D85" w:rsidRPr="00026D85" w:rsidRDefault="00026D85" w:rsidP="00026D85">
      <w:pPr>
        <w:pStyle w:val="af0"/>
        <w:rPr>
          <w:b/>
          <w:bCs w:val="0"/>
          <w:color w:val="0070C0"/>
        </w:rPr>
      </w:pPr>
      <w:r w:rsidRPr="00026D85">
        <w:rPr>
          <w:b/>
          <w:bCs w:val="0"/>
          <w:color w:val="0070C0"/>
        </w:rPr>
        <w:t>Ποσοστό Επιδότησης</w:t>
      </w:r>
    </w:p>
    <w:p w14:paraId="4A4CE5FC" w14:textId="77777777" w:rsidR="00026D85" w:rsidRDefault="00026D85" w:rsidP="00026D85">
      <w:pPr>
        <w:pStyle w:val="af0"/>
      </w:pPr>
      <w:r>
        <w:t>Η</w:t>
      </w:r>
      <w:r>
        <w:rPr>
          <w:spacing w:val="-10"/>
        </w:rPr>
        <w:t xml:space="preserve"> </w:t>
      </w:r>
      <w:r>
        <w:t>επιχορήγηση</w:t>
      </w:r>
      <w:r>
        <w:rPr>
          <w:spacing w:val="-10"/>
        </w:rPr>
        <w:t xml:space="preserve"> </w:t>
      </w:r>
      <w:r>
        <w:t>για</w:t>
      </w:r>
      <w:r>
        <w:rPr>
          <w:spacing w:val="-9"/>
        </w:rPr>
        <w:t xml:space="preserve"> </w:t>
      </w:r>
      <w:r>
        <w:t>τις</w:t>
      </w:r>
      <w:r>
        <w:rPr>
          <w:spacing w:val="-8"/>
        </w:rPr>
        <w:t xml:space="preserve"> </w:t>
      </w:r>
      <w:r>
        <w:t>ενδιάμεσες</w:t>
      </w:r>
      <w:r>
        <w:rPr>
          <w:spacing w:val="-8"/>
        </w:rPr>
        <w:t xml:space="preserve"> </w:t>
      </w:r>
      <w:r>
        <w:t>δόσεις</w:t>
      </w:r>
      <w:r>
        <w:rPr>
          <w:spacing w:val="-11"/>
        </w:rPr>
        <w:t xml:space="preserve"> </w:t>
      </w:r>
      <w:r>
        <w:t>εκτιμάται</w:t>
      </w:r>
      <w:r>
        <w:rPr>
          <w:spacing w:val="-12"/>
        </w:rPr>
        <w:t xml:space="preserve"> </w:t>
      </w:r>
      <w:r>
        <w:t>ότι</w:t>
      </w:r>
      <w:r>
        <w:rPr>
          <w:spacing w:val="-9"/>
        </w:rPr>
        <w:t xml:space="preserve"> </w:t>
      </w:r>
      <w:r>
        <w:t>θα</w:t>
      </w:r>
      <w:r>
        <w:rPr>
          <w:spacing w:val="-8"/>
        </w:rPr>
        <w:t xml:space="preserve"> </w:t>
      </w:r>
      <w:r>
        <w:t>διαμορφωθεί</w:t>
      </w:r>
      <w:r>
        <w:rPr>
          <w:spacing w:val="-9"/>
        </w:rPr>
        <w:t xml:space="preserve"> </w:t>
      </w:r>
      <w:r>
        <w:t>σε</w:t>
      </w:r>
      <w:r>
        <w:rPr>
          <w:spacing w:val="-9"/>
        </w:rPr>
        <w:t xml:space="preserve"> </w:t>
      </w:r>
      <w:r>
        <w:t>ποσοστό</w:t>
      </w:r>
      <w:r>
        <w:rPr>
          <w:spacing w:val="32"/>
        </w:rPr>
        <w:t xml:space="preserve"> </w:t>
      </w:r>
      <w:r>
        <w:rPr>
          <w:b/>
        </w:rPr>
        <w:t>40%</w:t>
      </w:r>
      <w:r>
        <w:rPr>
          <w:b/>
          <w:spacing w:val="-7"/>
        </w:rPr>
        <w:t xml:space="preserve"> </w:t>
      </w:r>
      <w:r>
        <w:t>επί</w:t>
      </w:r>
      <w:r>
        <w:rPr>
          <w:spacing w:val="-48"/>
        </w:rPr>
        <w:t xml:space="preserve"> </w:t>
      </w:r>
      <w:r>
        <w:t>των</w:t>
      </w:r>
      <w:r>
        <w:rPr>
          <w:spacing w:val="1"/>
        </w:rPr>
        <w:t xml:space="preserve"> </w:t>
      </w:r>
      <w:r>
        <w:t>υποβαλλόμενων</w:t>
      </w:r>
      <w:r>
        <w:rPr>
          <w:spacing w:val="1"/>
        </w:rPr>
        <w:t xml:space="preserve"> </w:t>
      </w:r>
      <w:r>
        <w:t>δαπανών.</w:t>
      </w:r>
      <w:r>
        <w:rPr>
          <w:spacing w:val="1"/>
        </w:rPr>
        <w:t xml:space="preserve"> </w:t>
      </w:r>
      <w:r>
        <w:t>Κατά</w:t>
      </w:r>
      <w:r>
        <w:rPr>
          <w:spacing w:val="1"/>
        </w:rPr>
        <w:t xml:space="preserve"> </w:t>
      </w:r>
      <w:r>
        <w:t>την</w:t>
      </w:r>
      <w:r>
        <w:rPr>
          <w:spacing w:val="1"/>
        </w:rPr>
        <w:t xml:space="preserve"> </w:t>
      </w:r>
      <w:r>
        <w:t>ολοκλήρωση</w:t>
      </w:r>
      <w:r>
        <w:rPr>
          <w:spacing w:val="1"/>
        </w:rPr>
        <w:t xml:space="preserve"> </w:t>
      </w:r>
      <w:r>
        <w:t>της</w:t>
      </w:r>
      <w:r>
        <w:rPr>
          <w:spacing w:val="1"/>
        </w:rPr>
        <w:t xml:space="preserve"> </w:t>
      </w:r>
      <w:r>
        <w:t>επένδυσης</w:t>
      </w:r>
      <w:r>
        <w:rPr>
          <w:spacing w:val="1"/>
        </w:rPr>
        <w:t xml:space="preserve"> </w:t>
      </w:r>
      <w:r>
        <w:t>θα</w:t>
      </w:r>
      <w:r>
        <w:rPr>
          <w:spacing w:val="1"/>
        </w:rPr>
        <w:t xml:space="preserve"> </w:t>
      </w:r>
      <w:r>
        <w:t>προβλέπεται</w:t>
      </w:r>
      <w:r>
        <w:rPr>
          <w:spacing w:val="1"/>
        </w:rPr>
        <w:t xml:space="preserve"> </w:t>
      </w:r>
      <w:r>
        <w:rPr>
          <w:spacing w:val="-1"/>
        </w:rPr>
        <w:t>πρόσθετο</w:t>
      </w:r>
      <w:r>
        <w:rPr>
          <w:spacing w:val="-10"/>
        </w:rPr>
        <w:t xml:space="preserve"> </w:t>
      </w:r>
      <w:r>
        <w:rPr>
          <w:spacing w:val="-1"/>
        </w:rPr>
        <w:t>ποσοστό</w:t>
      </w:r>
      <w:r>
        <w:rPr>
          <w:spacing w:val="-9"/>
        </w:rPr>
        <w:t xml:space="preserve"> </w:t>
      </w:r>
      <w:r>
        <w:rPr>
          <w:spacing w:val="-1"/>
        </w:rPr>
        <w:t>επιχορήγησης</w:t>
      </w:r>
      <w:r>
        <w:rPr>
          <w:spacing w:val="-7"/>
        </w:rPr>
        <w:t xml:space="preserve"> </w:t>
      </w:r>
      <w:r>
        <w:rPr>
          <w:spacing w:val="-1"/>
        </w:rPr>
        <w:t>ύψους</w:t>
      </w:r>
      <w:r>
        <w:rPr>
          <w:spacing w:val="-11"/>
        </w:rPr>
        <w:t xml:space="preserve"> </w:t>
      </w:r>
      <w:r>
        <w:rPr>
          <w:b/>
          <w:spacing w:val="-1"/>
        </w:rPr>
        <w:t>15%</w:t>
      </w:r>
      <w:r>
        <w:rPr>
          <w:spacing w:val="-1"/>
        </w:rPr>
        <w:t>,</w:t>
      </w:r>
      <w:r>
        <w:rPr>
          <w:spacing w:val="-7"/>
        </w:rPr>
        <w:t xml:space="preserve"> </w:t>
      </w:r>
      <w:r>
        <w:rPr>
          <w:spacing w:val="-1"/>
        </w:rPr>
        <w:t>το</w:t>
      </w:r>
      <w:r>
        <w:rPr>
          <w:spacing w:val="-9"/>
        </w:rPr>
        <w:t xml:space="preserve"> </w:t>
      </w:r>
      <w:r>
        <w:rPr>
          <w:spacing w:val="-1"/>
        </w:rPr>
        <w:t>οποίο</w:t>
      </w:r>
      <w:r>
        <w:rPr>
          <w:spacing w:val="-7"/>
        </w:rPr>
        <w:t xml:space="preserve"> </w:t>
      </w:r>
      <w:r>
        <w:rPr>
          <w:spacing w:val="-1"/>
        </w:rPr>
        <w:t>θα</w:t>
      </w:r>
      <w:r>
        <w:rPr>
          <w:spacing w:val="-11"/>
        </w:rPr>
        <w:t xml:space="preserve"> </w:t>
      </w:r>
      <w:r>
        <w:rPr>
          <w:spacing w:val="-1"/>
        </w:rPr>
        <w:t>καταβάλλεται</w:t>
      </w:r>
      <w:r>
        <w:rPr>
          <w:spacing w:val="-8"/>
        </w:rPr>
        <w:t xml:space="preserve"> </w:t>
      </w:r>
      <w:r>
        <w:t>βάσει</w:t>
      </w:r>
      <w:r>
        <w:rPr>
          <w:spacing w:val="-9"/>
        </w:rPr>
        <w:t xml:space="preserve"> </w:t>
      </w:r>
      <w:r>
        <w:t>της</w:t>
      </w:r>
      <w:r>
        <w:rPr>
          <w:spacing w:val="-7"/>
        </w:rPr>
        <w:t xml:space="preserve"> </w:t>
      </w:r>
      <w:r>
        <w:t>επίτευξης</w:t>
      </w:r>
      <w:r>
        <w:rPr>
          <w:spacing w:val="-47"/>
        </w:rPr>
        <w:t xml:space="preserve"> </w:t>
      </w:r>
      <w:r>
        <w:t>στόχων (</w:t>
      </w:r>
      <w:proofErr w:type="spellStart"/>
      <w:r>
        <w:t>Green</w:t>
      </w:r>
      <w:proofErr w:type="spellEnd"/>
      <w:r>
        <w:t xml:space="preserve"> δαπάνες) που θα αφορούν στο ποσοστό υλοποίησης της επένδυσης καις στη</w:t>
      </w:r>
      <w:r>
        <w:rPr>
          <w:spacing w:val="-47"/>
        </w:rPr>
        <w:t xml:space="preserve"> </w:t>
      </w:r>
      <w:r>
        <w:t>δημιουργία</w:t>
      </w:r>
      <w:r>
        <w:rPr>
          <w:spacing w:val="-4"/>
        </w:rPr>
        <w:t xml:space="preserve"> </w:t>
      </w:r>
      <w:r>
        <w:t>νέων</w:t>
      </w:r>
      <w:r>
        <w:rPr>
          <w:spacing w:val="-4"/>
        </w:rPr>
        <w:t xml:space="preserve"> </w:t>
      </w:r>
      <w:r>
        <w:t>θέσεων</w:t>
      </w:r>
      <w:r>
        <w:rPr>
          <w:spacing w:val="-2"/>
        </w:rPr>
        <w:t xml:space="preserve"> </w:t>
      </w:r>
      <w:r>
        <w:t>απασχόλησης (πρόσληψη</w:t>
      </w:r>
      <w:r>
        <w:rPr>
          <w:spacing w:val="-2"/>
        </w:rPr>
        <w:t xml:space="preserve"> </w:t>
      </w:r>
      <w:r>
        <w:t>προσωπικού</w:t>
      </w:r>
      <w:r>
        <w:rPr>
          <w:spacing w:val="-2"/>
        </w:rPr>
        <w:t xml:space="preserve"> </w:t>
      </w:r>
      <w:r>
        <w:t>με</w:t>
      </w:r>
      <w:r>
        <w:rPr>
          <w:spacing w:val="-4"/>
        </w:rPr>
        <w:t xml:space="preserve"> </w:t>
      </w:r>
      <w:r>
        <w:t>μισθωτή</w:t>
      </w:r>
      <w:r>
        <w:rPr>
          <w:spacing w:val="-3"/>
        </w:rPr>
        <w:t xml:space="preserve"> </w:t>
      </w:r>
      <w:r>
        <w:t>εργασία).</w:t>
      </w:r>
    </w:p>
    <w:p w14:paraId="7A2D66FC" w14:textId="77777777" w:rsidR="00041AB4" w:rsidRDefault="00041AB4" w:rsidP="00026D85">
      <w:pPr>
        <w:pStyle w:val="af0"/>
        <w:rPr>
          <w:b/>
          <w:bCs w:val="0"/>
          <w:color w:val="0070C0"/>
        </w:rPr>
      </w:pPr>
    </w:p>
    <w:p w14:paraId="031FD92E" w14:textId="709AB562" w:rsidR="00026D85" w:rsidRPr="00026D85" w:rsidRDefault="00026D85" w:rsidP="00026D85">
      <w:pPr>
        <w:pStyle w:val="af0"/>
        <w:rPr>
          <w:b/>
          <w:bCs w:val="0"/>
          <w:color w:val="0070C0"/>
        </w:rPr>
      </w:pPr>
      <w:r w:rsidRPr="00026D85">
        <w:rPr>
          <w:b/>
          <w:bCs w:val="0"/>
          <w:color w:val="0070C0"/>
        </w:rPr>
        <w:t>Επιλέξιμες Δαπάνες</w:t>
      </w:r>
    </w:p>
    <w:tbl>
      <w:tblPr>
        <w:tblStyle w:val="TableNormal"/>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5103"/>
        <w:gridCol w:w="2977"/>
      </w:tblGrid>
      <w:tr w:rsidR="00B14213" w:rsidRPr="006278C0" w14:paraId="6DC6E19C" w14:textId="77777777" w:rsidTr="00041AB4">
        <w:trPr>
          <w:trHeight w:val="805"/>
          <w:tblHeader/>
        </w:trPr>
        <w:tc>
          <w:tcPr>
            <w:tcW w:w="851" w:type="dxa"/>
            <w:tcBorders>
              <w:top w:val="single" w:sz="8" w:space="0" w:color="000000"/>
              <w:left w:val="single" w:sz="8" w:space="0" w:color="000000"/>
              <w:bottom w:val="single" w:sz="4" w:space="0" w:color="000000"/>
              <w:right w:val="single" w:sz="4" w:space="0" w:color="000000"/>
            </w:tcBorders>
            <w:shd w:val="clear" w:color="auto" w:fill="1F3664"/>
            <w:vAlign w:val="center"/>
          </w:tcPr>
          <w:p w14:paraId="598FCFBC" w14:textId="77777777" w:rsidR="00026D85" w:rsidRPr="006278C0" w:rsidRDefault="00026D85" w:rsidP="006278C0">
            <w:pPr>
              <w:pStyle w:val="TableParagraph"/>
              <w:spacing w:before="120" w:after="120"/>
              <w:ind w:left="104" w:right="92"/>
              <w:jc w:val="center"/>
              <w:rPr>
                <w:rFonts w:ascii="Times New Roman" w:hAnsi="Times New Roman" w:cs="Times New Roman"/>
                <w:b/>
                <w:sz w:val="24"/>
                <w:szCs w:val="24"/>
              </w:rPr>
            </w:pPr>
            <w:r w:rsidRPr="006278C0">
              <w:rPr>
                <w:rFonts w:ascii="Times New Roman" w:hAnsi="Times New Roman" w:cs="Times New Roman"/>
                <w:b/>
                <w:color w:val="FFFFFF"/>
                <w:sz w:val="24"/>
                <w:szCs w:val="24"/>
              </w:rPr>
              <w:t>Α/Α</w:t>
            </w:r>
          </w:p>
        </w:tc>
        <w:tc>
          <w:tcPr>
            <w:tcW w:w="5103" w:type="dxa"/>
            <w:tcBorders>
              <w:top w:val="single" w:sz="8" w:space="0" w:color="000000"/>
              <w:left w:val="single" w:sz="4" w:space="0" w:color="000000"/>
              <w:bottom w:val="single" w:sz="4" w:space="0" w:color="000000"/>
              <w:right w:val="single" w:sz="4" w:space="0" w:color="000000"/>
            </w:tcBorders>
            <w:shd w:val="clear" w:color="auto" w:fill="1F3664"/>
            <w:vAlign w:val="center"/>
          </w:tcPr>
          <w:p w14:paraId="7F9F599D" w14:textId="77777777" w:rsidR="00026D85" w:rsidRPr="006278C0" w:rsidRDefault="00026D85" w:rsidP="006278C0">
            <w:pPr>
              <w:pStyle w:val="TableParagraph"/>
              <w:spacing w:before="120" w:after="120"/>
              <w:ind w:left="140"/>
              <w:jc w:val="center"/>
              <w:rPr>
                <w:rFonts w:ascii="Times New Roman" w:hAnsi="Times New Roman" w:cs="Times New Roman"/>
                <w:b/>
                <w:sz w:val="24"/>
                <w:szCs w:val="24"/>
              </w:rPr>
            </w:pPr>
            <w:r w:rsidRPr="006278C0">
              <w:rPr>
                <w:rFonts w:ascii="Times New Roman" w:hAnsi="Times New Roman" w:cs="Times New Roman"/>
                <w:b/>
                <w:color w:val="FFFFFF"/>
                <w:sz w:val="24"/>
                <w:szCs w:val="24"/>
              </w:rPr>
              <w:t>Κα</w:t>
            </w:r>
            <w:proofErr w:type="spellStart"/>
            <w:r w:rsidRPr="006278C0">
              <w:rPr>
                <w:rFonts w:ascii="Times New Roman" w:hAnsi="Times New Roman" w:cs="Times New Roman"/>
                <w:b/>
                <w:color w:val="FFFFFF"/>
                <w:sz w:val="24"/>
                <w:szCs w:val="24"/>
              </w:rPr>
              <w:t>τηγορί</w:t>
            </w:r>
            <w:proofErr w:type="spellEnd"/>
            <w:r w:rsidRPr="006278C0">
              <w:rPr>
                <w:rFonts w:ascii="Times New Roman" w:hAnsi="Times New Roman" w:cs="Times New Roman"/>
                <w:b/>
                <w:color w:val="FFFFFF"/>
                <w:sz w:val="24"/>
                <w:szCs w:val="24"/>
              </w:rPr>
              <w:t>α</w:t>
            </w:r>
            <w:r w:rsidRPr="006278C0">
              <w:rPr>
                <w:rFonts w:ascii="Times New Roman" w:hAnsi="Times New Roman" w:cs="Times New Roman"/>
                <w:b/>
                <w:color w:val="FFFFFF"/>
                <w:spacing w:val="-2"/>
                <w:sz w:val="24"/>
                <w:szCs w:val="24"/>
              </w:rPr>
              <w:t xml:space="preserve"> </w:t>
            </w:r>
            <w:r w:rsidRPr="006278C0">
              <w:rPr>
                <w:rFonts w:ascii="Times New Roman" w:hAnsi="Times New Roman" w:cs="Times New Roman"/>
                <w:b/>
                <w:color w:val="FFFFFF"/>
                <w:sz w:val="24"/>
                <w:szCs w:val="24"/>
              </w:rPr>
              <w:t>Δαπ</w:t>
            </w:r>
            <w:proofErr w:type="spellStart"/>
            <w:r w:rsidRPr="006278C0">
              <w:rPr>
                <w:rFonts w:ascii="Times New Roman" w:hAnsi="Times New Roman" w:cs="Times New Roman"/>
                <w:b/>
                <w:color w:val="FFFFFF"/>
                <w:sz w:val="24"/>
                <w:szCs w:val="24"/>
              </w:rPr>
              <w:t>άνης</w:t>
            </w:r>
            <w:proofErr w:type="spellEnd"/>
          </w:p>
        </w:tc>
        <w:tc>
          <w:tcPr>
            <w:tcW w:w="2977" w:type="dxa"/>
            <w:tcBorders>
              <w:top w:val="single" w:sz="8" w:space="0" w:color="000000"/>
              <w:left w:val="single" w:sz="4" w:space="0" w:color="000000"/>
              <w:bottom w:val="single" w:sz="4" w:space="0" w:color="000000"/>
              <w:right w:val="single" w:sz="8" w:space="0" w:color="000000"/>
            </w:tcBorders>
            <w:shd w:val="clear" w:color="auto" w:fill="1F3664"/>
            <w:hideMark/>
          </w:tcPr>
          <w:p w14:paraId="280FC4C6" w14:textId="77777777" w:rsidR="006278C0" w:rsidRDefault="00026D85" w:rsidP="006278C0">
            <w:pPr>
              <w:pStyle w:val="TableParagraph"/>
              <w:spacing w:before="120" w:after="120"/>
              <w:ind w:left="144" w:right="127"/>
              <w:jc w:val="center"/>
              <w:rPr>
                <w:rFonts w:ascii="Times New Roman" w:hAnsi="Times New Roman" w:cs="Times New Roman"/>
                <w:b/>
                <w:color w:val="FFFFFF"/>
                <w:spacing w:val="-47"/>
                <w:sz w:val="24"/>
                <w:szCs w:val="24"/>
                <w:lang w:val="el-GR"/>
              </w:rPr>
            </w:pPr>
            <w:r w:rsidRPr="006278C0">
              <w:rPr>
                <w:rFonts w:ascii="Times New Roman" w:hAnsi="Times New Roman" w:cs="Times New Roman"/>
                <w:b/>
                <w:color w:val="FFFFFF"/>
                <w:sz w:val="24"/>
                <w:szCs w:val="24"/>
                <w:lang w:val="el-GR"/>
              </w:rPr>
              <w:t>Μέγιστο Όριο Δαπάνης</w:t>
            </w:r>
            <w:r w:rsidRPr="006278C0">
              <w:rPr>
                <w:rFonts w:ascii="Times New Roman" w:hAnsi="Times New Roman" w:cs="Times New Roman"/>
                <w:b/>
                <w:color w:val="FFFFFF"/>
                <w:spacing w:val="-47"/>
                <w:sz w:val="24"/>
                <w:szCs w:val="24"/>
                <w:lang w:val="el-GR"/>
              </w:rPr>
              <w:t xml:space="preserve"> </w:t>
            </w:r>
            <w:r w:rsidR="006278C0">
              <w:rPr>
                <w:rFonts w:ascii="Times New Roman" w:hAnsi="Times New Roman" w:cs="Times New Roman"/>
                <w:b/>
                <w:color w:val="FFFFFF"/>
                <w:spacing w:val="-47"/>
                <w:sz w:val="24"/>
                <w:szCs w:val="24"/>
                <w:lang w:val="el-GR"/>
              </w:rPr>
              <w:t xml:space="preserve"> </w:t>
            </w:r>
          </w:p>
          <w:p w14:paraId="247313AF" w14:textId="6F22E09C" w:rsidR="00026D85" w:rsidRPr="006278C0" w:rsidRDefault="00026D85" w:rsidP="006278C0">
            <w:pPr>
              <w:pStyle w:val="TableParagraph"/>
              <w:spacing w:before="120" w:after="120"/>
              <w:ind w:left="144" w:right="127"/>
              <w:jc w:val="center"/>
              <w:rPr>
                <w:rFonts w:ascii="Times New Roman" w:hAnsi="Times New Roman" w:cs="Times New Roman"/>
                <w:b/>
                <w:sz w:val="24"/>
                <w:szCs w:val="24"/>
                <w:lang w:val="el-GR"/>
              </w:rPr>
            </w:pPr>
            <w:r w:rsidRPr="006278C0">
              <w:rPr>
                <w:rFonts w:ascii="Times New Roman" w:hAnsi="Times New Roman" w:cs="Times New Roman"/>
                <w:b/>
                <w:color w:val="FFFFFF"/>
                <w:sz w:val="24"/>
                <w:szCs w:val="24"/>
                <w:lang w:val="el-GR"/>
              </w:rPr>
              <w:t>(επί</w:t>
            </w:r>
            <w:r w:rsidRPr="006278C0">
              <w:rPr>
                <w:rFonts w:ascii="Times New Roman" w:hAnsi="Times New Roman" w:cs="Times New Roman"/>
                <w:b/>
                <w:color w:val="FFFFFF"/>
                <w:spacing w:val="-3"/>
                <w:sz w:val="24"/>
                <w:szCs w:val="24"/>
                <w:lang w:val="el-GR"/>
              </w:rPr>
              <w:t xml:space="preserve"> </w:t>
            </w:r>
            <w:r w:rsidRPr="006278C0">
              <w:rPr>
                <w:rFonts w:ascii="Times New Roman" w:hAnsi="Times New Roman" w:cs="Times New Roman"/>
                <w:b/>
                <w:color w:val="FFFFFF"/>
                <w:sz w:val="24"/>
                <w:szCs w:val="24"/>
                <w:lang w:val="el-GR"/>
              </w:rPr>
              <w:t>του συνολικού προϋπολογισμού)</w:t>
            </w:r>
          </w:p>
        </w:tc>
      </w:tr>
      <w:tr w:rsidR="00B14213" w:rsidRPr="006278C0" w14:paraId="4206FD46" w14:textId="77777777" w:rsidTr="00041AB4">
        <w:trPr>
          <w:trHeight w:val="935"/>
        </w:trPr>
        <w:tc>
          <w:tcPr>
            <w:tcW w:w="851" w:type="dxa"/>
            <w:tcBorders>
              <w:top w:val="single" w:sz="4" w:space="0" w:color="000000"/>
              <w:left w:val="single" w:sz="8" w:space="0" w:color="000000"/>
              <w:bottom w:val="single" w:sz="4" w:space="0" w:color="000000"/>
              <w:right w:val="single" w:sz="4" w:space="0" w:color="000000"/>
            </w:tcBorders>
            <w:shd w:val="clear" w:color="auto" w:fill="F2F2F2"/>
          </w:tcPr>
          <w:p w14:paraId="01CA10FE" w14:textId="77777777" w:rsidR="00026D85" w:rsidRPr="006278C0" w:rsidRDefault="00026D85" w:rsidP="006278C0">
            <w:pPr>
              <w:pStyle w:val="TableParagraph"/>
              <w:spacing w:before="120" w:after="120"/>
              <w:rPr>
                <w:rFonts w:ascii="Times New Roman" w:hAnsi="Times New Roman" w:cs="Times New Roman"/>
                <w:b/>
                <w:sz w:val="24"/>
                <w:szCs w:val="24"/>
                <w:lang w:val="el-GR"/>
              </w:rPr>
            </w:pPr>
          </w:p>
          <w:p w14:paraId="3FFA825E" w14:textId="77777777" w:rsidR="00026D85" w:rsidRPr="006278C0" w:rsidRDefault="00026D85" w:rsidP="006278C0">
            <w:pPr>
              <w:pStyle w:val="TableParagraph"/>
              <w:spacing w:before="120" w:after="120"/>
              <w:ind w:left="11"/>
              <w:jc w:val="center"/>
              <w:rPr>
                <w:rFonts w:ascii="Times New Roman" w:hAnsi="Times New Roman" w:cs="Times New Roman"/>
                <w:sz w:val="24"/>
                <w:szCs w:val="24"/>
              </w:rPr>
            </w:pPr>
            <w:r w:rsidRPr="006278C0">
              <w:rPr>
                <w:rFonts w:ascii="Times New Roman" w:hAnsi="Times New Roman" w:cs="Times New Roman"/>
                <w:sz w:val="24"/>
                <w:szCs w:val="24"/>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F2F2F2"/>
            <w:hideMark/>
          </w:tcPr>
          <w:p w14:paraId="08681C6E" w14:textId="44556B2D" w:rsidR="00026D85" w:rsidRPr="006278C0" w:rsidRDefault="00026D85" w:rsidP="00041AB4">
            <w:pPr>
              <w:pStyle w:val="TableParagraph"/>
              <w:spacing w:before="120" w:after="120"/>
              <w:ind w:left="112" w:right="155"/>
              <w:jc w:val="both"/>
              <w:rPr>
                <w:rFonts w:ascii="Times New Roman" w:hAnsi="Times New Roman" w:cs="Times New Roman"/>
                <w:sz w:val="24"/>
                <w:szCs w:val="24"/>
                <w:lang w:val="el-GR"/>
              </w:rPr>
            </w:pPr>
            <w:r w:rsidRPr="006278C0">
              <w:rPr>
                <w:rFonts w:ascii="Times New Roman" w:hAnsi="Times New Roman" w:cs="Times New Roman"/>
                <w:sz w:val="24"/>
                <w:szCs w:val="24"/>
                <w:lang w:val="el-GR"/>
              </w:rPr>
              <w:t xml:space="preserve">Κτίρια, εγκαταστάσεις και </w:t>
            </w:r>
            <w:proofErr w:type="spellStart"/>
            <w:r w:rsidRPr="006278C0">
              <w:rPr>
                <w:rFonts w:ascii="Times New Roman" w:hAnsi="Times New Roman" w:cs="Times New Roman"/>
                <w:sz w:val="24"/>
                <w:szCs w:val="24"/>
                <w:lang w:val="el-GR"/>
              </w:rPr>
              <w:t>περιβάλλων</w:t>
            </w:r>
            <w:proofErr w:type="spellEnd"/>
            <w:r w:rsidRPr="006278C0">
              <w:rPr>
                <w:rFonts w:ascii="Times New Roman" w:hAnsi="Times New Roman" w:cs="Times New Roman"/>
                <w:spacing w:val="1"/>
                <w:sz w:val="24"/>
                <w:szCs w:val="24"/>
                <w:lang w:val="el-GR"/>
              </w:rPr>
              <w:t xml:space="preserve"> </w:t>
            </w:r>
            <w:r w:rsidRPr="006278C0">
              <w:rPr>
                <w:rFonts w:ascii="Times New Roman" w:hAnsi="Times New Roman" w:cs="Times New Roman"/>
                <w:sz w:val="24"/>
                <w:szCs w:val="24"/>
                <w:lang w:val="el-GR"/>
              </w:rPr>
              <w:t>χώρος: Κατασκευή</w:t>
            </w:r>
            <w:r w:rsidR="00041AB4">
              <w:rPr>
                <w:rFonts w:ascii="Times New Roman" w:hAnsi="Times New Roman" w:cs="Times New Roman"/>
                <w:sz w:val="24"/>
                <w:szCs w:val="24"/>
                <w:lang w:val="el-GR"/>
              </w:rPr>
              <w:t xml:space="preserve"> </w:t>
            </w:r>
            <w:r w:rsidRPr="006278C0">
              <w:rPr>
                <w:rFonts w:ascii="Times New Roman" w:hAnsi="Times New Roman" w:cs="Times New Roman"/>
                <w:sz w:val="24"/>
                <w:szCs w:val="24"/>
                <w:lang w:val="el-GR"/>
              </w:rPr>
              <w:t>/</w:t>
            </w:r>
            <w:r w:rsidR="00041AB4">
              <w:rPr>
                <w:rFonts w:ascii="Times New Roman" w:hAnsi="Times New Roman" w:cs="Times New Roman"/>
                <w:sz w:val="24"/>
                <w:szCs w:val="24"/>
                <w:lang w:val="el-GR"/>
              </w:rPr>
              <w:t xml:space="preserve"> </w:t>
            </w:r>
            <w:r w:rsidRPr="006278C0">
              <w:rPr>
                <w:rFonts w:ascii="Times New Roman" w:hAnsi="Times New Roman" w:cs="Times New Roman"/>
                <w:sz w:val="24"/>
                <w:szCs w:val="24"/>
                <w:lang w:val="el-GR"/>
              </w:rPr>
              <w:t>επέκταση</w:t>
            </w:r>
            <w:r w:rsidR="00041AB4">
              <w:rPr>
                <w:rFonts w:ascii="Times New Roman" w:hAnsi="Times New Roman" w:cs="Times New Roman"/>
                <w:sz w:val="24"/>
                <w:szCs w:val="24"/>
                <w:lang w:val="el-GR"/>
              </w:rPr>
              <w:t xml:space="preserve"> </w:t>
            </w:r>
            <w:r w:rsidRPr="006278C0">
              <w:rPr>
                <w:rFonts w:ascii="Times New Roman" w:hAnsi="Times New Roman" w:cs="Times New Roman"/>
                <w:sz w:val="24"/>
                <w:szCs w:val="24"/>
                <w:lang w:val="el-GR"/>
              </w:rPr>
              <w:t>κτιριακών</w:t>
            </w:r>
            <w:r w:rsidRPr="006278C0">
              <w:rPr>
                <w:rFonts w:ascii="Times New Roman" w:hAnsi="Times New Roman" w:cs="Times New Roman"/>
                <w:spacing w:val="1"/>
                <w:sz w:val="24"/>
                <w:szCs w:val="24"/>
                <w:lang w:val="el-GR"/>
              </w:rPr>
              <w:t xml:space="preserve"> </w:t>
            </w:r>
            <w:r w:rsidRPr="006278C0">
              <w:rPr>
                <w:rFonts w:ascii="Times New Roman" w:hAnsi="Times New Roman" w:cs="Times New Roman"/>
                <w:sz w:val="24"/>
                <w:szCs w:val="24"/>
                <w:lang w:val="el-GR"/>
              </w:rPr>
              <w:t>εγκαταστάσεων, καθώς και αποπεράτωση</w:t>
            </w:r>
            <w:r w:rsidRPr="006278C0">
              <w:rPr>
                <w:rFonts w:ascii="Times New Roman" w:hAnsi="Times New Roman" w:cs="Times New Roman"/>
                <w:spacing w:val="-47"/>
                <w:sz w:val="24"/>
                <w:szCs w:val="24"/>
                <w:lang w:val="el-GR"/>
              </w:rPr>
              <w:t xml:space="preserve"> </w:t>
            </w:r>
            <w:r w:rsidRPr="006278C0">
              <w:rPr>
                <w:rFonts w:ascii="Times New Roman" w:hAnsi="Times New Roman" w:cs="Times New Roman"/>
                <w:sz w:val="24"/>
                <w:szCs w:val="24"/>
                <w:lang w:val="el-GR"/>
              </w:rPr>
              <w:t>κτιρίων</w:t>
            </w:r>
          </w:p>
        </w:tc>
        <w:tc>
          <w:tcPr>
            <w:tcW w:w="2977" w:type="dxa"/>
            <w:tcBorders>
              <w:top w:val="single" w:sz="4" w:space="0" w:color="000000"/>
              <w:left w:val="single" w:sz="4" w:space="0" w:color="000000"/>
              <w:bottom w:val="single" w:sz="4" w:space="0" w:color="000000"/>
              <w:right w:val="single" w:sz="8" w:space="0" w:color="000000"/>
            </w:tcBorders>
            <w:shd w:val="clear" w:color="auto" w:fill="F2F2F2"/>
            <w:vAlign w:val="center"/>
          </w:tcPr>
          <w:p w14:paraId="2709E79B" w14:textId="77777777" w:rsidR="00026D85" w:rsidRPr="006278C0" w:rsidRDefault="00026D85" w:rsidP="006278C0">
            <w:pPr>
              <w:pStyle w:val="TableParagraph"/>
              <w:spacing w:before="120" w:after="120"/>
              <w:ind w:right="-15"/>
              <w:jc w:val="center"/>
              <w:rPr>
                <w:rFonts w:ascii="Times New Roman" w:hAnsi="Times New Roman" w:cs="Times New Roman"/>
                <w:sz w:val="24"/>
                <w:szCs w:val="24"/>
              </w:rPr>
            </w:pPr>
            <w:proofErr w:type="spellStart"/>
            <w:r w:rsidRPr="006278C0">
              <w:rPr>
                <w:rFonts w:ascii="Times New Roman" w:hAnsi="Times New Roman" w:cs="Times New Roman"/>
                <w:sz w:val="24"/>
                <w:szCs w:val="24"/>
              </w:rPr>
              <w:t>έως</w:t>
            </w:r>
            <w:proofErr w:type="spellEnd"/>
            <w:r w:rsidRPr="006278C0">
              <w:rPr>
                <w:rFonts w:ascii="Times New Roman" w:hAnsi="Times New Roman" w:cs="Times New Roman"/>
                <w:spacing w:val="-2"/>
                <w:sz w:val="24"/>
                <w:szCs w:val="24"/>
              </w:rPr>
              <w:t xml:space="preserve"> </w:t>
            </w:r>
            <w:r w:rsidRPr="006278C0">
              <w:rPr>
                <w:rFonts w:ascii="Times New Roman" w:hAnsi="Times New Roman" w:cs="Times New Roman"/>
                <w:sz w:val="24"/>
                <w:szCs w:val="24"/>
              </w:rPr>
              <w:t>80%</w:t>
            </w:r>
          </w:p>
        </w:tc>
      </w:tr>
      <w:tr w:rsidR="00B14213" w:rsidRPr="006278C0" w14:paraId="3C17724D" w14:textId="77777777" w:rsidTr="00041AB4">
        <w:trPr>
          <w:trHeight w:val="67"/>
        </w:trPr>
        <w:tc>
          <w:tcPr>
            <w:tcW w:w="851" w:type="dxa"/>
            <w:tcBorders>
              <w:top w:val="single" w:sz="4" w:space="0" w:color="000000"/>
              <w:left w:val="single" w:sz="8" w:space="0" w:color="000000"/>
              <w:bottom w:val="single" w:sz="4" w:space="0" w:color="000000"/>
              <w:right w:val="single" w:sz="4" w:space="0" w:color="000000"/>
            </w:tcBorders>
            <w:shd w:val="clear" w:color="auto" w:fill="F2F2F2"/>
          </w:tcPr>
          <w:p w14:paraId="212F49B6" w14:textId="77777777" w:rsidR="00026D85" w:rsidRPr="006278C0" w:rsidRDefault="00026D85" w:rsidP="006278C0">
            <w:pPr>
              <w:pStyle w:val="TableParagraph"/>
              <w:spacing w:before="120" w:after="120"/>
              <w:rPr>
                <w:rFonts w:ascii="Times New Roman" w:hAnsi="Times New Roman" w:cs="Times New Roman"/>
                <w:b/>
                <w:sz w:val="24"/>
                <w:szCs w:val="24"/>
              </w:rPr>
            </w:pPr>
          </w:p>
          <w:p w14:paraId="2E2B9872" w14:textId="77777777" w:rsidR="00026D85" w:rsidRPr="006278C0" w:rsidRDefault="00026D85" w:rsidP="006278C0">
            <w:pPr>
              <w:pStyle w:val="TableParagraph"/>
              <w:spacing w:before="120" w:after="120"/>
              <w:rPr>
                <w:rFonts w:ascii="Times New Roman" w:hAnsi="Times New Roman" w:cs="Times New Roman"/>
                <w:b/>
                <w:sz w:val="24"/>
                <w:szCs w:val="24"/>
              </w:rPr>
            </w:pPr>
          </w:p>
          <w:p w14:paraId="59841246" w14:textId="77777777" w:rsidR="00026D85" w:rsidRPr="006278C0" w:rsidRDefault="00026D85" w:rsidP="006278C0">
            <w:pPr>
              <w:pStyle w:val="TableParagraph"/>
              <w:spacing w:before="120" w:after="120"/>
              <w:ind w:left="11"/>
              <w:jc w:val="center"/>
              <w:rPr>
                <w:rFonts w:ascii="Times New Roman" w:hAnsi="Times New Roman" w:cs="Times New Roman"/>
                <w:sz w:val="24"/>
                <w:szCs w:val="24"/>
              </w:rPr>
            </w:pPr>
            <w:r w:rsidRPr="006278C0">
              <w:rPr>
                <w:rFonts w:ascii="Times New Roman" w:hAnsi="Times New Roman" w:cs="Times New Roman"/>
                <w:sz w:val="24"/>
                <w:szCs w:val="24"/>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F2F2F2"/>
            <w:hideMark/>
          </w:tcPr>
          <w:p w14:paraId="3ABDDE7F" w14:textId="77777777" w:rsidR="00026D85" w:rsidRPr="006278C0" w:rsidRDefault="00026D85" w:rsidP="006278C0">
            <w:pPr>
              <w:pStyle w:val="TableParagraph"/>
              <w:spacing w:before="120" w:after="120" w:line="268" w:lineRule="exact"/>
              <w:ind w:left="112"/>
              <w:rPr>
                <w:rFonts w:ascii="Times New Roman" w:hAnsi="Times New Roman" w:cs="Times New Roman"/>
                <w:sz w:val="24"/>
                <w:szCs w:val="24"/>
              </w:rPr>
            </w:pPr>
            <w:proofErr w:type="spellStart"/>
            <w:r w:rsidRPr="006278C0">
              <w:rPr>
                <w:rFonts w:ascii="Times New Roman" w:hAnsi="Times New Roman" w:cs="Times New Roman"/>
                <w:sz w:val="24"/>
                <w:szCs w:val="24"/>
              </w:rPr>
              <w:t>Μηχ</w:t>
            </w:r>
            <w:proofErr w:type="spellEnd"/>
            <w:r w:rsidRPr="006278C0">
              <w:rPr>
                <w:rFonts w:ascii="Times New Roman" w:hAnsi="Times New Roman" w:cs="Times New Roman"/>
                <w:sz w:val="24"/>
                <w:szCs w:val="24"/>
              </w:rPr>
              <w:t>ανήματα -</w:t>
            </w:r>
            <w:r w:rsidRPr="006278C0">
              <w:rPr>
                <w:rFonts w:ascii="Times New Roman" w:hAnsi="Times New Roman" w:cs="Times New Roman"/>
                <w:spacing w:val="-4"/>
                <w:sz w:val="24"/>
                <w:szCs w:val="24"/>
              </w:rPr>
              <w:t xml:space="preserve"> </w:t>
            </w:r>
            <w:proofErr w:type="spellStart"/>
            <w:r w:rsidRPr="006278C0">
              <w:rPr>
                <w:rFonts w:ascii="Times New Roman" w:hAnsi="Times New Roman" w:cs="Times New Roman"/>
                <w:sz w:val="24"/>
                <w:szCs w:val="24"/>
              </w:rPr>
              <w:t>Εξο</w:t>
            </w:r>
            <w:proofErr w:type="spellEnd"/>
            <w:r w:rsidRPr="006278C0">
              <w:rPr>
                <w:rFonts w:ascii="Times New Roman" w:hAnsi="Times New Roman" w:cs="Times New Roman"/>
                <w:sz w:val="24"/>
                <w:szCs w:val="24"/>
              </w:rPr>
              <w:t>π</w:t>
            </w:r>
            <w:proofErr w:type="spellStart"/>
            <w:r w:rsidRPr="006278C0">
              <w:rPr>
                <w:rFonts w:ascii="Times New Roman" w:hAnsi="Times New Roman" w:cs="Times New Roman"/>
                <w:sz w:val="24"/>
                <w:szCs w:val="24"/>
              </w:rPr>
              <w:t>λισμός</w:t>
            </w:r>
            <w:proofErr w:type="spellEnd"/>
            <w:r w:rsidRPr="006278C0">
              <w:rPr>
                <w:rFonts w:ascii="Times New Roman" w:hAnsi="Times New Roman" w:cs="Times New Roman"/>
                <w:sz w:val="24"/>
                <w:szCs w:val="24"/>
              </w:rPr>
              <w:t>:</w:t>
            </w:r>
          </w:p>
          <w:p w14:paraId="210D8A87" w14:textId="35E24936" w:rsidR="00026D85" w:rsidRPr="006278C0" w:rsidRDefault="00026D85" w:rsidP="006278C0">
            <w:pPr>
              <w:pStyle w:val="TableParagraph"/>
              <w:numPr>
                <w:ilvl w:val="0"/>
                <w:numId w:val="32"/>
              </w:numPr>
              <w:tabs>
                <w:tab w:val="left" w:pos="230"/>
              </w:tabs>
              <w:spacing w:before="120" w:after="120"/>
              <w:ind w:left="112" w:right="-2" w:firstLine="0"/>
              <w:rPr>
                <w:rFonts w:ascii="Times New Roman" w:hAnsi="Times New Roman" w:cs="Times New Roman"/>
                <w:sz w:val="24"/>
                <w:szCs w:val="24"/>
              </w:rPr>
            </w:pPr>
            <w:r w:rsidRPr="006278C0">
              <w:rPr>
                <w:rFonts w:ascii="Times New Roman" w:hAnsi="Times New Roman" w:cs="Times New Roman"/>
                <w:sz w:val="24"/>
                <w:szCs w:val="24"/>
              </w:rPr>
              <w:t>Παρα</w:t>
            </w:r>
            <w:proofErr w:type="spellStart"/>
            <w:r w:rsidRPr="006278C0">
              <w:rPr>
                <w:rFonts w:ascii="Times New Roman" w:hAnsi="Times New Roman" w:cs="Times New Roman"/>
                <w:sz w:val="24"/>
                <w:szCs w:val="24"/>
              </w:rPr>
              <w:t>γωγικός</w:t>
            </w:r>
            <w:proofErr w:type="spellEnd"/>
            <w:r w:rsidRPr="006278C0">
              <w:rPr>
                <w:rFonts w:ascii="Times New Roman" w:hAnsi="Times New Roman" w:cs="Times New Roman"/>
                <w:sz w:val="24"/>
                <w:szCs w:val="24"/>
              </w:rPr>
              <w:t xml:space="preserve"> &amp; </w:t>
            </w:r>
            <w:proofErr w:type="spellStart"/>
            <w:r w:rsidRPr="006278C0">
              <w:rPr>
                <w:rFonts w:ascii="Times New Roman" w:hAnsi="Times New Roman" w:cs="Times New Roman"/>
                <w:sz w:val="24"/>
                <w:szCs w:val="24"/>
              </w:rPr>
              <w:t>Μηχ</w:t>
            </w:r>
            <w:proofErr w:type="spellEnd"/>
            <w:r w:rsidRPr="006278C0">
              <w:rPr>
                <w:rFonts w:ascii="Times New Roman" w:hAnsi="Times New Roman" w:cs="Times New Roman"/>
                <w:sz w:val="24"/>
                <w:szCs w:val="24"/>
              </w:rPr>
              <w:t>ανολογικός</w:t>
            </w:r>
            <w:r w:rsidR="00B14213" w:rsidRPr="006278C0">
              <w:rPr>
                <w:rFonts w:ascii="Times New Roman" w:hAnsi="Times New Roman" w:cs="Times New Roman"/>
                <w:sz w:val="24"/>
                <w:szCs w:val="24"/>
                <w:lang w:val="el-GR"/>
              </w:rPr>
              <w:t xml:space="preserve"> </w:t>
            </w:r>
            <w:proofErr w:type="spellStart"/>
            <w:r w:rsidRPr="006278C0">
              <w:rPr>
                <w:rFonts w:ascii="Times New Roman" w:hAnsi="Times New Roman" w:cs="Times New Roman"/>
                <w:sz w:val="24"/>
                <w:szCs w:val="24"/>
              </w:rPr>
              <w:t>Εξο</w:t>
            </w:r>
            <w:proofErr w:type="spellEnd"/>
            <w:r w:rsidRPr="006278C0">
              <w:rPr>
                <w:rFonts w:ascii="Times New Roman" w:hAnsi="Times New Roman" w:cs="Times New Roman"/>
                <w:sz w:val="24"/>
                <w:szCs w:val="24"/>
              </w:rPr>
              <w:t>πλισμός</w:t>
            </w:r>
          </w:p>
          <w:p w14:paraId="1F880F19" w14:textId="77777777" w:rsidR="00026D85" w:rsidRPr="006278C0" w:rsidRDefault="00026D85" w:rsidP="006278C0">
            <w:pPr>
              <w:pStyle w:val="TableParagraph"/>
              <w:numPr>
                <w:ilvl w:val="0"/>
                <w:numId w:val="32"/>
              </w:numPr>
              <w:tabs>
                <w:tab w:val="left" w:pos="230"/>
              </w:tabs>
              <w:spacing w:before="120" w:after="120"/>
              <w:ind w:left="229" w:hanging="118"/>
              <w:rPr>
                <w:rFonts w:ascii="Times New Roman" w:hAnsi="Times New Roman" w:cs="Times New Roman"/>
                <w:sz w:val="24"/>
                <w:szCs w:val="24"/>
              </w:rPr>
            </w:pPr>
            <w:proofErr w:type="spellStart"/>
            <w:r w:rsidRPr="006278C0">
              <w:rPr>
                <w:rFonts w:ascii="Times New Roman" w:hAnsi="Times New Roman" w:cs="Times New Roman"/>
                <w:sz w:val="24"/>
                <w:szCs w:val="24"/>
              </w:rPr>
              <w:t>Εργ</w:t>
            </w:r>
            <w:proofErr w:type="spellEnd"/>
            <w:r w:rsidRPr="006278C0">
              <w:rPr>
                <w:rFonts w:ascii="Times New Roman" w:hAnsi="Times New Roman" w:cs="Times New Roman"/>
                <w:sz w:val="24"/>
                <w:szCs w:val="24"/>
              </w:rPr>
              <w:t>αστηριακός</w:t>
            </w:r>
            <w:r w:rsidRPr="006278C0">
              <w:rPr>
                <w:rFonts w:ascii="Times New Roman" w:hAnsi="Times New Roman" w:cs="Times New Roman"/>
                <w:spacing w:val="-1"/>
                <w:sz w:val="24"/>
                <w:szCs w:val="24"/>
              </w:rPr>
              <w:t xml:space="preserve"> </w:t>
            </w:r>
            <w:proofErr w:type="spellStart"/>
            <w:r w:rsidRPr="006278C0">
              <w:rPr>
                <w:rFonts w:ascii="Times New Roman" w:hAnsi="Times New Roman" w:cs="Times New Roman"/>
                <w:sz w:val="24"/>
                <w:szCs w:val="24"/>
              </w:rPr>
              <w:t>Εξο</w:t>
            </w:r>
            <w:proofErr w:type="spellEnd"/>
            <w:r w:rsidRPr="006278C0">
              <w:rPr>
                <w:rFonts w:ascii="Times New Roman" w:hAnsi="Times New Roman" w:cs="Times New Roman"/>
                <w:sz w:val="24"/>
                <w:szCs w:val="24"/>
              </w:rPr>
              <w:t>πλισμός</w:t>
            </w:r>
          </w:p>
          <w:p w14:paraId="41B7F272" w14:textId="77777777" w:rsidR="00026D85" w:rsidRPr="006278C0" w:rsidRDefault="00026D85" w:rsidP="006278C0">
            <w:pPr>
              <w:pStyle w:val="TableParagraph"/>
              <w:numPr>
                <w:ilvl w:val="0"/>
                <w:numId w:val="32"/>
              </w:numPr>
              <w:tabs>
                <w:tab w:val="left" w:pos="230"/>
              </w:tabs>
              <w:spacing w:before="120" w:after="120"/>
              <w:ind w:left="229" w:hanging="118"/>
              <w:rPr>
                <w:rFonts w:ascii="Times New Roman" w:hAnsi="Times New Roman" w:cs="Times New Roman"/>
                <w:sz w:val="24"/>
                <w:szCs w:val="24"/>
              </w:rPr>
            </w:pPr>
            <w:proofErr w:type="spellStart"/>
            <w:r w:rsidRPr="006278C0">
              <w:rPr>
                <w:rFonts w:ascii="Times New Roman" w:hAnsi="Times New Roman" w:cs="Times New Roman"/>
                <w:sz w:val="24"/>
                <w:szCs w:val="24"/>
              </w:rPr>
              <w:t>Ψηφι</w:t>
            </w:r>
            <w:proofErr w:type="spellEnd"/>
            <w:r w:rsidRPr="006278C0">
              <w:rPr>
                <w:rFonts w:ascii="Times New Roman" w:hAnsi="Times New Roman" w:cs="Times New Roman"/>
                <w:sz w:val="24"/>
                <w:szCs w:val="24"/>
              </w:rPr>
              <w:t>ακός</w:t>
            </w:r>
            <w:r w:rsidRPr="006278C0">
              <w:rPr>
                <w:rFonts w:ascii="Times New Roman" w:hAnsi="Times New Roman" w:cs="Times New Roman"/>
                <w:spacing w:val="-1"/>
                <w:sz w:val="24"/>
                <w:szCs w:val="24"/>
              </w:rPr>
              <w:t xml:space="preserve"> </w:t>
            </w:r>
            <w:proofErr w:type="spellStart"/>
            <w:r w:rsidRPr="006278C0">
              <w:rPr>
                <w:rFonts w:ascii="Times New Roman" w:hAnsi="Times New Roman" w:cs="Times New Roman"/>
                <w:sz w:val="24"/>
                <w:szCs w:val="24"/>
              </w:rPr>
              <w:t>Εξο</w:t>
            </w:r>
            <w:proofErr w:type="spellEnd"/>
            <w:r w:rsidRPr="006278C0">
              <w:rPr>
                <w:rFonts w:ascii="Times New Roman" w:hAnsi="Times New Roman" w:cs="Times New Roman"/>
                <w:sz w:val="24"/>
                <w:szCs w:val="24"/>
              </w:rPr>
              <w:t>πλισμός</w:t>
            </w:r>
            <w:r w:rsidRPr="006278C0">
              <w:rPr>
                <w:rFonts w:ascii="Times New Roman" w:hAnsi="Times New Roman" w:cs="Times New Roman"/>
                <w:spacing w:val="-3"/>
                <w:sz w:val="24"/>
                <w:szCs w:val="24"/>
              </w:rPr>
              <w:t xml:space="preserve"> </w:t>
            </w:r>
            <w:r w:rsidRPr="006278C0">
              <w:rPr>
                <w:rFonts w:ascii="Times New Roman" w:hAnsi="Times New Roman" w:cs="Times New Roman"/>
                <w:sz w:val="24"/>
                <w:szCs w:val="24"/>
              </w:rPr>
              <w:t>&amp;</w:t>
            </w:r>
            <w:r w:rsidRPr="006278C0">
              <w:rPr>
                <w:rFonts w:ascii="Times New Roman" w:hAnsi="Times New Roman" w:cs="Times New Roman"/>
                <w:spacing w:val="-2"/>
                <w:sz w:val="24"/>
                <w:szCs w:val="24"/>
              </w:rPr>
              <w:t xml:space="preserve"> </w:t>
            </w:r>
            <w:proofErr w:type="spellStart"/>
            <w:r w:rsidRPr="006278C0">
              <w:rPr>
                <w:rFonts w:ascii="Times New Roman" w:hAnsi="Times New Roman" w:cs="Times New Roman"/>
                <w:sz w:val="24"/>
                <w:szCs w:val="24"/>
              </w:rPr>
              <w:t>Λογισμικό</w:t>
            </w:r>
            <w:proofErr w:type="spellEnd"/>
          </w:p>
          <w:p w14:paraId="48DCDA60" w14:textId="77777777" w:rsidR="00026D85" w:rsidRPr="006278C0" w:rsidRDefault="00026D85" w:rsidP="006278C0">
            <w:pPr>
              <w:pStyle w:val="TableParagraph"/>
              <w:numPr>
                <w:ilvl w:val="0"/>
                <w:numId w:val="32"/>
              </w:numPr>
              <w:tabs>
                <w:tab w:val="left" w:pos="230"/>
              </w:tabs>
              <w:spacing w:before="120" w:after="120" w:line="249" w:lineRule="exact"/>
              <w:ind w:left="229" w:hanging="118"/>
              <w:rPr>
                <w:rFonts w:ascii="Times New Roman" w:hAnsi="Times New Roman" w:cs="Times New Roman"/>
                <w:sz w:val="24"/>
                <w:szCs w:val="24"/>
              </w:rPr>
            </w:pPr>
            <w:proofErr w:type="spellStart"/>
            <w:r w:rsidRPr="006278C0">
              <w:rPr>
                <w:rFonts w:ascii="Times New Roman" w:hAnsi="Times New Roman" w:cs="Times New Roman"/>
                <w:sz w:val="24"/>
                <w:szCs w:val="24"/>
              </w:rPr>
              <w:t>Λοι</w:t>
            </w:r>
            <w:proofErr w:type="spellEnd"/>
            <w:r w:rsidRPr="006278C0">
              <w:rPr>
                <w:rFonts w:ascii="Times New Roman" w:hAnsi="Times New Roman" w:cs="Times New Roman"/>
                <w:sz w:val="24"/>
                <w:szCs w:val="24"/>
              </w:rPr>
              <w:t>πός</w:t>
            </w:r>
            <w:r w:rsidRPr="006278C0">
              <w:rPr>
                <w:rFonts w:ascii="Times New Roman" w:hAnsi="Times New Roman" w:cs="Times New Roman"/>
                <w:spacing w:val="-1"/>
                <w:sz w:val="24"/>
                <w:szCs w:val="24"/>
              </w:rPr>
              <w:t xml:space="preserve"> </w:t>
            </w:r>
            <w:proofErr w:type="spellStart"/>
            <w:r w:rsidRPr="006278C0">
              <w:rPr>
                <w:rFonts w:ascii="Times New Roman" w:hAnsi="Times New Roman" w:cs="Times New Roman"/>
                <w:sz w:val="24"/>
                <w:szCs w:val="24"/>
              </w:rPr>
              <w:t>Εξο</w:t>
            </w:r>
            <w:proofErr w:type="spellEnd"/>
            <w:r w:rsidRPr="006278C0">
              <w:rPr>
                <w:rFonts w:ascii="Times New Roman" w:hAnsi="Times New Roman" w:cs="Times New Roman"/>
                <w:sz w:val="24"/>
                <w:szCs w:val="24"/>
              </w:rPr>
              <w:t>πλισμός</w:t>
            </w:r>
          </w:p>
        </w:tc>
        <w:tc>
          <w:tcPr>
            <w:tcW w:w="2977" w:type="dxa"/>
            <w:tcBorders>
              <w:top w:val="single" w:sz="4" w:space="0" w:color="000000"/>
              <w:left w:val="single" w:sz="4" w:space="0" w:color="000000"/>
              <w:bottom w:val="single" w:sz="4" w:space="0" w:color="000000"/>
              <w:right w:val="single" w:sz="8" w:space="0" w:color="000000"/>
            </w:tcBorders>
            <w:shd w:val="clear" w:color="auto" w:fill="F2F2F2"/>
          </w:tcPr>
          <w:p w14:paraId="5D03121B" w14:textId="77777777" w:rsidR="00B14213" w:rsidRPr="006278C0" w:rsidRDefault="00B14213" w:rsidP="006278C0">
            <w:pPr>
              <w:pStyle w:val="TableParagraph"/>
              <w:spacing w:before="120" w:after="120"/>
              <w:ind w:right="1322"/>
              <w:jc w:val="right"/>
              <w:rPr>
                <w:rFonts w:ascii="Times New Roman" w:hAnsi="Times New Roman" w:cs="Times New Roman"/>
                <w:sz w:val="24"/>
                <w:szCs w:val="24"/>
              </w:rPr>
            </w:pPr>
          </w:p>
          <w:p w14:paraId="1A43F4EA" w14:textId="77A701F5" w:rsidR="00026D85" w:rsidRPr="006278C0" w:rsidRDefault="00026D85" w:rsidP="006278C0">
            <w:pPr>
              <w:pStyle w:val="TableParagraph"/>
              <w:spacing w:before="120" w:after="120"/>
              <w:ind w:right="-15"/>
              <w:jc w:val="center"/>
              <w:rPr>
                <w:rFonts w:ascii="Times New Roman" w:hAnsi="Times New Roman" w:cs="Times New Roman"/>
                <w:sz w:val="24"/>
                <w:szCs w:val="24"/>
              </w:rPr>
            </w:pPr>
            <w:proofErr w:type="spellStart"/>
            <w:r w:rsidRPr="006278C0">
              <w:rPr>
                <w:rFonts w:ascii="Times New Roman" w:hAnsi="Times New Roman" w:cs="Times New Roman"/>
                <w:sz w:val="24"/>
                <w:szCs w:val="24"/>
              </w:rPr>
              <w:t>έως</w:t>
            </w:r>
            <w:proofErr w:type="spellEnd"/>
            <w:r w:rsidRPr="006278C0">
              <w:rPr>
                <w:rFonts w:ascii="Times New Roman" w:hAnsi="Times New Roman" w:cs="Times New Roman"/>
                <w:sz w:val="24"/>
                <w:szCs w:val="24"/>
              </w:rPr>
              <w:t xml:space="preserve"> 100%</w:t>
            </w:r>
          </w:p>
        </w:tc>
      </w:tr>
      <w:tr w:rsidR="00B14213" w:rsidRPr="006278C0" w14:paraId="04226061" w14:textId="77777777" w:rsidTr="00041AB4">
        <w:trPr>
          <w:trHeight w:val="258"/>
        </w:trPr>
        <w:tc>
          <w:tcPr>
            <w:tcW w:w="851" w:type="dxa"/>
            <w:tcBorders>
              <w:top w:val="single" w:sz="4" w:space="0" w:color="000000"/>
              <w:left w:val="single" w:sz="8" w:space="0" w:color="000000"/>
              <w:bottom w:val="single" w:sz="4" w:space="0" w:color="000000"/>
              <w:right w:val="single" w:sz="4" w:space="0" w:color="000000"/>
            </w:tcBorders>
            <w:shd w:val="clear" w:color="auto" w:fill="F2F2F2"/>
            <w:hideMark/>
          </w:tcPr>
          <w:p w14:paraId="6A88BDC6" w14:textId="77777777" w:rsidR="00026D85" w:rsidRPr="006278C0" w:rsidRDefault="00026D85" w:rsidP="006278C0">
            <w:pPr>
              <w:pStyle w:val="TableParagraph"/>
              <w:spacing w:before="120" w:after="120" w:line="264" w:lineRule="exact"/>
              <w:ind w:left="11"/>
              <w:jc w:val="center"/>
              <w:rPr>
                <w:rFonts w:ascii="Times New Roman" w:hAnsi="Times New Roman" w:cs="Times New Roman"/>
                <w:sz w:val="24"/>
                <w:szCs w:val="24"/>
              </w:rPr>
            </w:pPr>
            <w:r w:rsidRPr="006278C0">
              <w:rPr>
                <w:rFonts w:ascii="Times New Roman" w:hAnsi="Times New Roman" w:cs="Times New Roman"/>
                <w:sz w:val="24"/>
                <w:szCs w:val="24"/>
              </w:rPr>
              <w:lastRenderedPageBreak/>
              <w:t>3</w:t>
            </w:r>
          </w:p>
        </w:tc>
        <w:tc>
          <w:tcPr>
            <w:tcW w:w="5103" w:type="dxa"/>
            <w:tcBorders>
              <w:top w:val="single" w:sz="4" w:space="0" w:color="000000"/>
              <w:left w:val="single" w:sz="4" w:space="0" w:color="000000"/>
              <w:bottom w:val="single" w:sz="4" w:space="0" w:color="000000"/>
              <w:right w:val="single" w:sz="4" w:space="0" w:color="000000"/>
            </w:tcBorders>
            <w:shd w:val="clear" w:color="auto" w:fill="F2F2F2"/>
            <w:hideMark/>
          </w:tcPr>
          <w:p w14:paraId="1AE551EA" w14:textId="77777777" w:rsidR="00026D85" w:rsidRPr="006278C0" w:rsidRDefault="00026D85" w:rsidP="006278C0">
            <w:pPr>
              <w:pStyle w:val="TableParagraph"/>
              <w:spacing w:before="120" w:after="120"/>
              <w:ind w:left="281" w:right="121"/>
              <w:rPr>
                <w:rFonts w:ascii="Times New Roman" w:hAnsi="Times New Roman" w:cs="Times New Roman"/>
                <w:sz w:val="24"/>
                <w:szCs w:val="24"/>
                <w:lang w:val="el-GR"/>
              </w:rPr>
            </w:pPr>
            <w:r w:rsidRPr="006278C0">
              <w:rPr>
                <w:rFonts w:ascii="Times New Roman" w:hAnsi="Times New Roman" w:cs="Times New Roman"/>
                <w:sz w:val="24"/>
                <w:szCs w:val="24"/>
                <w:lang w:val="el-GR"/>
              </w:rPr>
              <w:t>Ενισχύσεις πρώτης λειτουργίας (εκκίνησης</w:t>
            </w:r>
            <w:r w:rsidRPr="006278C0">
              <w:rPr>
                <w:rFonts w:ascii="Times New Roman" w:hAnsi="Times New Roman" w:cs="Times New Roman"/>
                <w:spacing w:val="-48"/>
                <w:sz w:val="24"/>
                <w:szCs w:val="24"/>
                <w:lang w:val="el-GR"/>
              </w:rPr>
              <w:t xml:space="preserve"> </w:t>
            </w:r>
            <w:proofErr w:type="spellStart"/>
            <w:r w:rsidRPr="006278C0">
              <w:rPr>
                <w:rFonts w:ascii="Times New Roman" w:hAnsi="Times New Roman" w:cs="Times New Roman"/>
                <w:sz w:val="24"/>
                <w:szCs w:val="24"/>
                <w:lang w:val="el-GR"/>
              </w:rPr>
              <w:t>ΜμΕ</w:t>
            </w:r>
            <w:proofErr w:type="spellEnd"/>
            <w:r w:rsidRPr="006278C0">
              <w:rPr>
                <w:rFonts w:ascii="Times New Roman" w:hAnsi="Times New Roman" w:cs="Times New Roman"/>
                <w:sz w:val="24"/>
                <w:szCs w:val="24"/>
                <w:lang w:val="el-GR"/>
              </w:rPr>
              <w:t>)</w:t>
            </w:r>
          </w:p>
        </w:tc>
        <w:tc>
          <w:tcPr>
            <w:tcW w:w="2977" w:type="dxa"/>
            <w:vMerge w:val="restart"/>
            <w:tcBorders>
              <w:top w:val="single" w:sz="4" w:space="0" w:color="000000"/>
              <w:left w:val="single" w:sz="4" w:space="0" w:color="000000"/>
              <w:bottom w:val="single" w:sz="4" w:space="0" w:color="000000"/>
              <w:right w:val="single" w:sz="8" w:space="0" w:color="000000"/>
            </w:tcBorders>
            <w:shd w:val="clear" w:color="auto" w:fill="F2F2F2"/>
            <w:vAlign w:val="center"/>
          </w:tcPr>
          <w:p w14:paraId="230B50AA" w14:textId="77777777" w:rsidR="00026D85" w:rsidRPr="006278C0" w:rsidRDefault="00026D85" w:rsidP="006278C0">
            <w:pPr>
              <w:pStyle w:val="TableParagraph"/>
              <w:spacing w:before="120" w:after="120"/>
              <w:ind w:left="113"/>
              <w:jc w:val="center"/>
              <w:rPr>
                <w:rFonts w:ascii="Times New Roman" w:hAnsi="Times New Roman" w:cs="Times New Roman"/>
                <w:sz w:val="24"/>
                <w:szCs w:val="24"/>
              </w:rPr>
            </w:pPr>
            <w:r w:rsidRPr="006278C0">
              <w:rPr>
                <w:rFonts w:ascii="Times New Roman" w:hAnsi="Times New Roman" w:cs="Times New Roman"/>
                <w:sz w:val="24"/>
                <w:szCs w:val="24"/>
              </w:rPr>
              <w:t>Θα π</w:t>
            </w:r>
            <w:proofErr w:type="spellStart"/>
            <w:r w:rsidRPr="006278C0">
              <w:rPr>
                <w:rFonts w:ascii="Times New Roman" w:hAnsi="Times New Roman" w:cs="Times New Roman"/>
                <w:sz w:val="24"/>
                <w:szCs w:val="24"/>
              </w:rPr>
              <w:t>ροσδιορισθούν</w:t>
            </w:r>
            <w:proofErr w:type="spellEnd"/>
            <w:r w:rsidRPr="006278C0">
              <w:rPr>
                <w:rFonts w:ascii="Times New Roman" w:hAnsi="Times New Roman" w:cs="Times New Roman"/>
                <w:spacing w:val="-3"/>
                <w:sz w:val="24"/>
                <w:szCs w:val="24"/>
              </w:rPr>
              <w:t xml:space="preserve"> </w:t>
            </w:r>
            <w:proofErr w:type="spellStart"/>
            <w:r w:rsidRPr="006278C0">
              <w:rPr>
                <w:rFonts w:ascii="Times New Roman" w:hAnsi="Times New Roman" w:cs="Times New Roman"/>
                <w:sz w:val="24"/>
                <w:szCs w:val="24"/>
              </w:rPr>
              <w:t>στην</w:t>
            </w:r>
            <w:proofErr w:type="spellEnd"/>
            <w:r w:rsidRPr="006278C0">
              <w:rPr>
                <w:rFonts w:ascii="Times New Roman" w:hAnsi="Times New Roman" w:cs="Times New Roman"/>
                <w:spacing w:val="-2"/>
                <w:sz w:val="24"/>
                <w:szCs w:val="24"/>
              </w:rPr>
              <w:t xml:space="preserve"> </w:t>
            </w:r>
            <w:r w:rsidRPr="006278C0">
              <w:rPr>
                <w:rFonts w:ascii="Times New Roman" w:hAnsi="Times New Roman" w:cs="Times New Roman"/>
                <w:sz w:val="24"/>
                <w:szCs w:val="24"/>
              </w:rPr>
              <w:t>π</w:t>
            </w:r>
            <w:proofErr w:type="spellStart"/>
            <w:r w:rsidRPr="006278C0">
              <w:rPr>
                <w:rFonts w:ascii="Times New Roman" w:hAnsi="Times New Roman" w:cs="Times New Roman"/>
                <w:sz w:val="24"/>
                <w:szCs w:val="24"/>
              </w:rPr>
              <w:t>ρόσκληση</w:t>
            </w:r>
            <w:proofErr w:type="spellEnd"/>
          </w:p>
        </w:tc>
      </w:tr>
      <w:tr w:rsidR="00B14213" w:rsidRPr="006278C0" w14:paraId="511600BE" w14:textId="77777777" w:rsidTr="00041AB4">
        <w:trPr>
          <w:trHeight w:val="299"/>
        </w:trPr>
        <w:tc>
          <w:tcPr>
            <w:tcW w:w="851" w:type="dxa"/>
            <w:tcBorders>
              <w:top w:val="single" w:sz="4" w:space="0" w:color="000000"/>
              <w:left w:val="single" w:sz="8" w:space="0" w:color="000000"/>
              <w:bottom w:val="single" w:sz="4" w:space="0" w:color="000000"/>
              <w:right w:val="single" w:sz="4" w:space="0" w:color="000000"/>
            </w:tcBorders>
            <w:shd w:val="clear" w:color="auto" w:fill="F2F2F2"/>
            <w:hideMark/>
          </w:tcPr>
          <w:p w14:paraId="35D81BD1" w14:textId="77777777" w:rsidR="00026D85" w:rsidRPr="006278C0" w:rsidRDefault="00026D85" w:rsidP="006278C0">
            <w:pPr>
              <w:pStyle w:val="TableParagraph"/>
              <w:spacing w:before="120" w:after="120" w:line="264" w:lineRule="exact"/>
              <w:ind w:left="11"/>
              <w:jc w:val="center"/>
              <w:rPr>
                <w:rFonts w:ascii="Times New Roman" w:hAnsi="Times New Roman" w:cs="Times New Roman"/>
                <w:sz w:val="24"/>
                <w:szCs w:val="24"/>
              </w:rPr>
            </w:pPr>
            <w:r w:rsidRPr="006278C0">
              <w:rPr>
                <w:rFonts w:ascii="Times New Roman" w:hAnsi="Times New Roman" w:cs="Times New Roman"/>
                <w:sz w:val="24"/>
                <w:szCs w:val="24"/>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F2F2F2"/>
            <w:hideMark/>
          </w:tcPr>
          <w:p w14:paraId="3EAFEBB4" w14:textId="77777777" w:rsidR="00026D85" w:rsidRPr="006278C0" w:rsidRDefault="00026D85" w:rsidP="006278C0">
            <w:pPr>
              <w:pStyle w:val="TableParagraph"/>
              <w:spacing w:before="120" w:after="120" w:line="264" w:lineRule="exact"/>
              <w:ind w:left="281"/>
              <w:rPr>
                <w:rFonts w:ascii="Times New Roman" w:hAnsi="Times New Roman" w:cs="Times New Roman"/>
                <w:sz w:val="24"/>
                <w:szCs w:val="24"/>
              </w:rPr>
            </w:pPr>
            <w:r w:rsidRPr="006278C0">
              <w:rPr>
                <w:rFonts w:ascii="Times New Roman" w:hAnsi="Times New Roman" w:cs="Times New Roman"/>
                <w:sz w:val="24"/>
                <w:szCs w:val="24"/>
              </w:rPr>
              <w:t>Δαπ</w:t>
            </w:r>
            <w:proofErr w:type="spellStart"/>
            <w:r w:rsidRPr="006278C0">
              <w:rPr>
                <w:rFonts w:ascii="Times New Roman" w:hAnsi="Times New Roman" w:cs="Times New Roman"/>
                <w:sz w:val="24"/>
                <w:szCs w:val="24"/>
              </w:rPr>
              <w:t>άνες</w:t>
            </w:r>
            <w:proofErr w:type="spellEnd"/>
            <w:r w:rsidRPr="006278C0">
              <w:rPr>
                <w:rFonts w:ascii="Times New Roman" w:hAnsi="Times New Roman" w:cs="Times New Roman"/>
                <w:spacing w:val="-3"/>
                <w:sz w:val="24"/>
                <w:szCs w:val="24"/>
              </w:rPr>
              <w:t xml:space="preserve"> </w:t>
            </w:r>
            <w:r w:rsidRPr="006278C0">
              <w:rPr>
                <w:rFonts w:ascii="Times New Roman" w:hAnsi="Times New Roman" w:cs="Times New Roman"/>
                <w:sz w:val="24"/>
                <w:szCs w:val="24"/>
              </w:rPr>
              <w:t>π</w:t>
            </w:r>
            <w:proofErr w:type="spellStart"/>
            <w:r w:rsidRPr="006278C0">
              <w:rPr>
                <w:rFonts w:ascii="Times New Roman" w:hAnsi="Times New Roman" w:cs="Times New Roman"/>
                <w:sz w:val="24"/>
                <w:szCs w:val="24"/>
              </w:rPr>
              <w:t>ρο</w:t>
            </w:r>
            <w:proofErr w:type="spellEnd"/>
            <w:r w:rsidRPr="006278C0">
              <w:rPr>
                <w:rFonts w:ascii="Times New Roman" w:hAnsi="Times New Roman" w:cs="Times New Roman"/>
                <w:sz w:val="24"/>
                <w:szCs w:val="24"/>
              </w:rPr>
              <w:t>βολής</w:t>
            </w:r>
            <w:r w:rsidRPr="006278C0">
              <w:rPr>
                <w:rFonts w:ascii="Times New Roman" w:hAnsi="Times New Roman" w:cs="Times New Roman"/>
                <w:spacing w:val="-2"/>
                <w:sz w:val="24"/>
                <w:szCs w:val="24"/>
              </w:rPr>
              <w:t xml:space="preserve"> </w:t>
            </w:r>
            <w:r w:rsidRPr="006278C0">
              <w:rPr>
                <w:rFonts w:ascii="Times New Roman" w:hAnsi="Times New Roman" w:cs="Times New Roman"/>
                <w:sz w:val="24"/>
                <w:szCs w:val="24"/>
              </w:rPr>
              <w:t>και</w:t>
            </w:r>
            <w:r w:rsidRPr="006278C0">
              <w:rPr>
                <w:rFonts w:ascii="Times New Roman" w:hAnsi="Times New Roman" w:cs="Times New Roman"/>
                <w:spacing w:val="-3"/>
                <w:sz w:val="24"/>
                <w:szCs w:val="24"/>
              </w:rPr>
              <w:t xml:space="preserve"> </w:t>
            </w:r>
            <w:proofErr w:type="spellStart"/>
            <w:r w:rsidRPr="006278C0">
              <w:rPr>
                <w:rFonts w:ascii="Times New Roman" w:hAnsi="Times New Roman" w:cs="Times New Roman"/>
                <w:sz w:val="24"/>
                <w:szCs w:val="24"/>
              </w:rPr>
              <w:t>εξωστρέφει</w:t>
            </w:r>
            <w:proofErr w:type="spellEnd"/>
            <w:r w:rsidRPr="006278C0">
              <w:rPr>
                <w:rFonts w:ascii="Times New Roman" w:hAnsi="Times New Roman" w:cs="Times New Roman"/>
                <w:sz w:val="24"/>
                <w:szCs w:val="24"/>
              </w:rPr>
              <w:t>ας</w:t>
            </w:r>
          </w:p>
        </w:tc>
        <w:tc>
          <w:tcPr>
            <w:tcW w:w="2977" w:type="dxa"/>
            <w:vMerge/>
            <w:tcBorders>
              <w:top w:val="single" w:sz="4" w:space="0" w:color="000000"/>
              <w:left w:val="single" w:sz="4" w:space="0" w:color="000000"/>
              <w:bottom w:val="single" w:sz="4" w:space="0" w:color="000000"/>
              <w:right w:val="single" w:sz="8" w:space="0" w:color="000000"/>
            </w:tcBorders>
            <w:vAlign w:val="center"/>
            <w:hideMark/>
          </w:tcPr>
          <w:p w14:paraId="7DF23CDE" w14:textId="77777777" w:rsidR="00026D85" w:rsidRPr="006278C0" w:rsidRDefault="00026D85" w:rsidP="006278C0">
            <w:pPr>
              <w:spacing w:before="120" w:after="120"/>
              <w:jc w:val="center"/>
              <w:rPr>
                <w:rFonts w:ascii="Times New Roman" w:eastAsia="Calibri" w:hAnsi="Times New Roman" w:cs="Times New Roman"/>
                <w:sz w:val="24"/>
                <w:szCs w:val="24"/>
              </w:rPr>
            </w:pPr>
          </w:p>
        </w:tc>
      </w:tr>
      <w:tr w:rsidR="00B14213" w:rsidRPr="006278C0" w14:paraId="1B4AE658" w14:textId="77777777" w:rsidTr="00041AB4">
        <w:trPr>
          <w:trHeight w:val="299"/>
        </w:trPr>
        <w:tc>
          <w:tcPr>
            <w:tcW w:w="851" w:type="dxa"/>
            <w:tcBorders>
              <w:top w:val="single" w:sz="4" w:space="0" w:color="000000"/>
              <w:left w:val="single" w:sz="8" w:space="0" w:color="000000"/>
              <w:bottom w:val="single" w:sz="4" w:space="0" w:color="000000"/>
              <w:right w:val="single" w:sz="4" w:space="0" w:color="000000"/>
            </w:tcBorders>
            <w:shd w:val="clear" w:color="auto" w:fill="F2F2F2"/>
            <w:hideMark/>
          </w:tcPr>
          <w:p w14:paraId="542748AC" w14:textId="77777777" w:rsidR="00026D85" w:rsidRPr="006278C0" w:rsidRDefault="00026D85" w:rsidP="006278C0">
            <w:pPr>
              <w:pStyle w:val="TableParagraph"/>
              <w:spacing w:before="120" w:after="120" w:line="264" w:lineRule="exact"/>
              <w:ind w:left="11"/>
              <w:jc w:val="center"/>
              <w:rPr>
                <w:rFonts w:ascii="Times New Roman" w:hAnsi="Times New Roman" w:cs="Times New Roman"/>
                <w:sz w:val="24"/>
                <w:szCs w:val="24"/>
              </w:rPr>
            </w:pPr>
            <w:r w:rsidRPr="006278C0">
              <w:rPr>
                <w:rFonts w:ascii="Times New Roman" w:hAnsi="Times New Roman" w:cs="Times New Roman"/>
                <w:sz w:val="24"/>
                <w:szCs w:val="24"/>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F2F2F2"/>
            <w:hideMark/>
          </w:tcPr>
          <w:p w14:paraId="021BCB8D" w14:textId="77777777" w:rsidR="00026D85" w:rsidRPr="006278C0" w:rsidRDefault="00026D85" w:rsidP="006278C0">
            <w:pPr>
              <w:pStyle w:val="TableParagraph"/>
              <w:spacing w:before="120" w:after="120" w:line="264" w:lineRule="exact"/>
              <w:ind w:left="281"/>
              <w:rPr>
                <w:rFonts w:ascii="Times New Roman" w:hAnsi="Times New Roman" w:cs="Times New Roman"/>
                <w:sz w:val="24"/>
                <w:szCs w:val="24"/>
              </w:rPr>
            </w:pPr>
            <w:proofErr w:type="spellStart"/>
            <w:r w:rsidRPr="006278C0">
              <w:rPr>
                <w:rFonts w:ascii="Times New Roman" w:hAnsi="Times New Roman" w:cs="Times New Roman"/>
                <w:sz w:val="24"/>
                <w:szCs w:val="24"/>
              </w:rPr>
              <w:t>Τεχνικές</w:t>
            </w:r>
            <w:proofErr w:type="spellEnd"/>
            <w:r w:rsidRPr="006278C0">
              <w:rPr>
                <w:rFonts w:ascii="Times New Roman" w:hAnsi="Times New Roman" w:cs="Times New Roman"/>
                <w:spacing w:val="-2"/>
                <w:sz w:val="24"/>
                <w:szCs w:val="24"/>
              </w:rPr>
              <w:t xml:space="preserve"> </w:t>
            </w:r>
            <w:proofErr w:type="spellStart"/>
            <w:r w:rsidRPr="006278C0">
              <w:rPr>
                <w:rFonts w:ascii="Times New Roman" w:hAnsi="Times New Roman" w:cs="Times New Roman"/>
                <w:sz w:val="24"/>
                <w:szCs w:val="24"/>
              </w:rPr>
              <w:t>μελέτες</w:t>
            </w:r>
            <w:proofErr w:type="spellEnd"/>
          </w:p>
        </w:tc>
        <w:tc>
          <w:tcPr>
            <w:tcW w:w="2977" w:type="dxa"/>
            <w:vMerge/>
            <w:tcBorders>
              <w:top w:val="single" w:sz="4" w:space="0" w:color="000000"/>
              <w:left w:val="single" w:sz="4" w:space="0" w:color="000000"/>
              <w:bottom w:val="single" w:sz="4" w:space="0" w:color="000000"/>
              <w:right w:val="single" w:sz="8" w:space="0" w:color="000000"/>
            </w:tcBorders>
            <w:vAlign w:val="center"/>
            <w:hideMark/>
          </w:tcPr>
          <w:p w14:paraId="7F5C8442" w14:textId="77777777" w:rsidR="00026D85" w:rsidRPr="006278C0" w:rsidRDefault="00026D85" w:rsidP="006278C0">
            <w:pPr>
              <w:spacing w:before="120" w:after="120"/>
              <w:jc w:val="center"/>
              <w:rPr>
                <w:rFonts w:ascii="Times New Roman" w:eastAsia="Calibri" w:hAnsi="Times New Roman" w:cs="Times New Roman"/>
                <w:sz w:val="24"/>
                <w:szCs w:val="24"/>
              </w:rPr>
            </w:pPr>
          </w:p>
        </w:tc>
      </w:tr>
      <w:tr w:rsidR="00B14213" w:rsidRPr="006278C0" w14:paraId="4EB8CD72" w14:textId="77777777" w:rsidTr="00041AB4">
        <w:trPr>
          <w:trHeight w:val="301"/>
        </w:trPr>
        <w:tc>
          <w:tcPr>
            <w:tcW w:w="851" w:type="dxa"/>
            <w:tcBorders>
              <w:top w:val="single" w:sz="4" w:space="0" w:color="000000"/>
              <w:left w:val="single" w:sz="8" w:space="0" w:color="000000"/>
              <w:bottom w:val="single" w:sz="4" w:space="0" w:color="000000"/>
              <w:right w:val="single" w:sz="4" w:space="0" w:color="000000"/>
            </w:tcBorders>
            <w:shd w:val="clear" w:color="auto" w:fill="F2F2F2"/>
            <w:hideMark/>
          </w:tcPr>
          <w:p w14:paraId="23738D05" w14:textId="77777777" w:rsidR="00026D85" w:rsidRPr="006278C0" w:rsidRDefault="00026D85" w:rsidP="006278C0">
            <w:pPr>
              <w:pStyle w:val="TableParagraph"/>
              <w:spacing w:before="120" w:after="120" w:line="266" w:lineRule="exact"/>
              <w:ind w:left="11"/>
              <w:jc w:val="center"/>
              <w:rPr>
                <w:rFonts w:ascii="Times New Roman" w:hAnsi="Times New Roman" w:cs="Times New Roman"/>
                <w:sz w:val="24"/>
                <w:szCs w:val="24"/>
              </w:rPr>
            </w:pPr>
            <w:r w:rsidRPr="006278C0">
              <w:rPr>
                <w:rFonts w:ascii="Times New Roman" w:hAnsi="Times New Roman" w:cs="Times New Roman"/>
                <w:sz w:val="24"/>
                <w:szCs w:val="24"/>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F2F2F2"/>
            <w:hideMark/>
          </w:tcPr>
          <w:p w14:paraId="22F5C47F" w14:textId="77777777" w:rsidR="00026D85" w:rsidRPr="006278C0" w:rsidRDefault="00026D85" w:rsidP="006278C0">
            <w:pPr>
              <w:pStyle w:val="TableParagraph"/>
              <w:spacing w:before="120" w:after="120" w:line="266" w:lineRule="exact"/>
              <w:ind w:left="281"/>
              <w:rPr>
                <w:rFonts w:ascii="Times New Roman" w:hAnsi="Times New Roman" w:cs="Times New Roman"/>
                <w:sz w:val="24"/>
                <w:szCs w:val="24"/>
              </w:rPr>
            </w:pPr>
            <w:proofErr w:type="spellStart"/>
            <w:r w:rsidRPr="006278C0">
              <w:rPr>
                <w:rFonts w:ascii="Times New Roman" w:hAnsi="Times New Roman" w:cs="Times New Roman"/>
                <w:sz w:val="24"/>
                <w:szCs w:val="24"/>
              </w:rPr>
              <w:t>Συμ</w:t>
            </w:r>
            <w:proofErr w:type="spellEnd"/>
            <w:r w:rsidRPr="006278C0">
              <w:rPr>
                <w:rFonts w:ascii="Times New Roman" w:hAnsi="Times New Roman" w:cs="Times New Roman"/>
                <w:sz w:val="24"/>
                <w:szCs w:val="24"/>
              </w:rPr>
              <w:t>βουλευτικές</w:t>
            </w:r>
            <w:r w:rsidRPr="006278C0">
              <w:rPr>
                <w:rFonts w:ascii="Times New Roman" w:hAnsi="Times New Roman" w:cs="Times New Roman"/>
                <w:spacing w:val="-2"/>
                <w:sz w:val="24"/>
                <w:szCs w:val="24"/>
              </w:rPr>
              <w:t xml:space="preserve"> </w:t>
            </w:r>
            <w:r w:rsidRPr="006278C0">
              <w:rPr>
                <w:rFonts w:ascii="Times New Roman" w:hAnsi="Times New Roman" w:cs="Times New Roman"/>
                <w:sz w:val="24"/>
                <w:szCs w:val="24"/>
              </w:rPr>
              <w:t>υπ</w:t>
            </w:r>
            <w:proofErr w:type="spellStart"/>
            <w:r w:rsidRPr="006278C0">
              <w:rPr>
                <w:rFonts w:ascii="Times New Roman" w:hAnsi="Times New Roman" w:cs="Times New Roman"/>
                <w:sz w:val="24"/>
                <w:szCs w:val="24"/>
              </w:rPr>
              <w:t>ηρεσίες</w:t>
            </w:r>
            <w:proofErr w:type="spellEnd"/>
          </w:p>
        </w:tc>
        <w:tc>
          <w:tcPr>
            <w:tcW w:w="2977" w:type="dxa"/>
            <w:vMerge/>
            <w:tcBorders>
              <w:top w:val="single" w:sz="4" w:space="0" w:color="000000"/>
              <w:left w:val="single" w:sz="4" w:space="0" w:color="000000"/>
              <w:bottom w:val="single" w:sz="4" w:space="0" w:color="000000"/>
              <w:right w:val="single" w:sz="8" w:space="0" w:color="000000"/>
            </w:tcBorders>
            <w:vAlign w:val="center"/>
            <w:hideMark/>
          </w:tcPr>
          <w:p w14:paraId="49800125" w14:textId="77777777" w:rsidR="00026D85" w:rsidRPr="006278C0" w:rsidRDefault="00026D85" w:rsidP="006278C0">
            <w:pPr>
              <w:spacing w:before="120" w:after="120"/>
              <w:jc w:val="center"/>
              <w:rPr>
                <w:rFonts w:ascii="Times New Roman" w:eastAsia="Calibri" w:hAnsi="Times New Roman" w:cs="Times New Roman"/>
                <w:sz w:val="24"/>
                <w:szCs w:val="24"/>
              </w:rPr>
            </w:pPr>
          </w:p>
        </w:tc>
      </w:tr>
      <w:tr w:rsidR="00B14213" w:rsidRPr="006278C0" w14:paraId="43F33D76" w14:textId="77777777" w:rsidTr="00041AB4">
        <w:trPr>
          <w:trHeight w:val="299"/>
        </w:trPr>
        <w:tc>
          <w:tcPr>
            <w:tcW w:w="851" w:type="dxa"/>
            <w:tcBorders>
              <w:top w:val="single" w:sz="4" w:space="0" w:color="000000"/>
              <w:left w:val="single" w:sz="8" w:space="0" w:color="000000"/>
              <w:bottom w:val="single" w:sz="4" w:space="0" w:color="000000"/>
              <w:right w:val="single" w:sz="4" w:space="0" w:color="000000"/>
            </w:tcBorders>
            <w:shd w:val="clear" w:color="auto" w:fill="F2F2F2"/>
            <w:hideMark/>
          </w:tcPr>
          <w:p w14:paraId="22AE6290" w14:textId="77777777" w:rsidR="00026D85" w:rsidRPr="006278C0" w:rsidRDefault="00026D85" w:rsidP="006278C0">
            <w:pPr>
              <w:pStyle w:val="TableParagraph"/>
              <w:spacing w:before="120" w:after="120" w:line="266" w:lineRule="exact"/>
              <w:ind w:left="11"/>
              <w:jc w:val="center"/>
              <w:rPr>
                <w:rFonts w:ascii="Times New Roman" w:hAnsi="Times New Roman" w:cs="Times New Roman"/>
                <w:sz w:val="24"/>
                <w:szCs w:val="24"/>
              </w:rPr>
            </w:pPr>
            <w:r w:rsidRPr="006278C0">
              <w:rPr>
                <w:rFonts w:ascii="Times New Roman" w:hAnsi="Times New Roman" w:cs="Times New Roman"/>
                <w:sz w:val="24"/>
                <w:szCs w:val="24"/>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F2F2F2"/>
            <w:hideMark/>
          </w:tcPr>
          <w:p w14:paraId="1707E11E" w14:textId="77777777" w:rsidR="00026D85" w:rsidRPr="006278C0" w:rsidRDefault="00026D85" w:rsidP="006278C0">
            <w:pPr>
              <w:pStyle w:val="TableParagraph"/>
              <w:spacing w:before="120" w:after="120" w:line="266" w:lineRule="exact"/>
              <w:ind w:left="281"/>
              <w:rPr>
                <w:rFonts w:ascii="Times New Roman" w:hAnsi="Times New Roman" w:cs="Times New Roman"/>
                <w:sz w:val="24"/>
                <w:szCs w:val="24"/>
              </w:rPr>
            </w:pPr>
            <w:proofErr w:type="spellStart"/>
            <w:r w:rsidRPr="006278C0">
              <w:rPr>
                <w:rFonts w:ascii="Times New Roman" w:hAnsi="Times New Roman" w:cs="Times New Roman"/>
                <w:sz w:val="24"/>
                <w:szCs w:val="24"/>
              </w:rPr>
              <w:t>Μετ</w:t>
            </w:r>
            <w:proofErr w:type="spellEnd"/>
            <w:r w:rsidRPr="006278C0">
              <w:rPr>
                <w:rFonts w:ascii="Times New Roman" w:hAnsi="Times New Roman" w:cs="Times New Roman"/>
                <w:sz w:val="24"/>
                <w:szCs w:val="24"/>
              </w:rPr>
              <w:t>αφορικά</w:t>
            </w:r>
            <w:r w:rsidRPr="006278C0">
              <w:rPr>
                <w:rFonts w:ascii="Times New Roman" w:hAnsi="Times New Roman" w:cs="Times New Roman"/>
                <w:spacing w:val="-2"/>
                <w:sz w:val="24"/>
                <w:szCs w:val="24"/>
              </w:rPr>
              <w:t xml:space="preserve"> </w:t>
            </w:r>
            <w:proofErr w:type="spellStart"/>
            <w:r w:rsidRPr="006278C0">
              <w:rPr>
                <w:rFonts w:ascii="Times New Roman" w:hAnsi="Times New Roman" w:cs="Times New Roman"/>
                <w:sz w:val="24"/>
                <w:szCs w:val="24"/>
              </w:rPr>
              <w:t>μέσ</w:t>
            </w:r>
            <w:proofErr w:type="spellEnd"/>
            <w:r w:rsidRPr="006278C0">
              <w:rPr>
                <w:rFonts w:ascii="Times New Roman" w:hAnsi="Times New Roman" w:cs="Times New Roman"/>
                <w:sz w:val="24"/>
                <w:szCs w:val="24"/>
              </w:rPr>
              <w:t>α</w:t>
            </w:r>
          </w:p>
        </w:tc>
        <w:tc>
          <w:tcPr>
            <w:tcW w:w="2977" w:type="dxa"/>
            <w:vMerge/>
            <w:tcBorders>
              <w:top w:val="single" w:sz="4" w:space="0" w:color="000000"/>
              <w:left w:val="single" w:sz="4" w:space="0" w:color="000000"/>
              <w:bottom w:val="single" w:sz="4" w:space="0" w:color="000000"/>
              <w:right w:val="single" w:sz="8" w:space="0" w:color="000000"/>
            </w:tcBorders>
            <w:vAlign w:val="center"/>
            <w:hideMark/>
          </w:tcPr>
          <w:p w14:paraId="2453F538" w14:textId="77777777" w:rsidR="00026D85" w:rsidRPr="006278C0" w:rsidRDefault="00026D85" w:rsidP="006278C0">
            <w:pPr>
              <w:spacing w:before="120" w:after="120"/>
              <w:jc w:val="center"/>
              <w:rPr>
                <w:rFonts w:ascii="Times New Roman" w:eastAsia="Calibri" w:hAnsi="Times New Roman" w:cs="Times New Roman"/>
                <w:sz w:val="24"/>
                <w:szCs w:val="24"/>
              </w:rPr>
            </w:pPr>
          </w:p>
        </w:tc>
      </w:tr>
      <w:tr w:rsidR="00B14213" w:rsidRPr="006278C0" w14:paraId="454373A8" w14:textId="77777777" w:rsidTr="00041AB4">
        <w:trPr>
          <w:trHeight w:val="299"/>
        </w:trPr>
        <w:tc>
          <w:tcPr>
            <w:tcW w:w="851" w:type="dxa"/>
            <w:tcBorders>
              <w:top w:val="single" w:sz="4" w:space="0" w:color="000000"/>
              <w:left w:val="single" w:sz="8" w:space="0" w:color="000000"/>
              <w:bottom w:val="single" w:sz="4" w:space="0" w:color="000000"/>
              <w:right w:val="single" w:sz="4" w:space="0" w:color="000000"/>
            </w:tcBorders>
            <w:shd w:val="clear" w:color="auto" w:fill="F2F2F2"/>
            <w:hideMark/>
          </w:tcPr>
          <w:p w14:paraId="6589A2B8" w14:textId="77777777" w:rsidR="00026D85" w:rsidRPr="006278C0" w:rsidRDefault="00026D85" w:rsidP="006278C0">
            <w:pPr>
              <w:pStyle w:val="TableParagraph"/>
              <w:spacing w:before="120" w:after="120" w:line="266" w:lineRule="exact"/>
              <w:ind w:left="11"/>
              <w:jc w:val="center"/>
              <w:rPr>
                <w:rFonts w:ascii="Times New Roman" w:hAnsi="Times New Roman" w:cs="Times New Roman"/>
                <w:sz w:val="24"/>
                <w:szCs w:val="24"/>
              </w:rPr>
            </w:pPr>
            <w:r w:rsidRPr="006278C0">
              <w:rPr>
                <w:rFonts w:ascii="Times New Roman" w:hAnsi="Times New Roman" w:cs="Times New Roman"/>
                <w:sz w:val="24"/>
                <w:szCs w:val="24"/>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F2F2F2"/>
            <w:hideMark/>
          </w:tcPr>
          <w:p w14:paraId="6C34584A" w14:textId="77777777" w:rsidR="00026D85" w:rsidRPr="006278C0" w:rsidRDefault="00026D85" w:rsidP="006278C0">
            <w:pPr>
              <w:pStyle w:val="TableParagraph"/>
              <w:spacing w:before="120" w:after="120" w:line="266" w:lineRule="exact"/>
              <w:ind w:left="281"/>
              <w:rPr>
                <w:rFonts w:ascii="Times New Roman" w:hAnsi="Times New Roman" w:cs="Times New Roman"/>
                <w:sz w:val="24"/>
                <w:szCs w:val="24"/>
              </w:rPr>
            </w:pPr>
            <w:proofErr w:type="spellStart"/>
            <w:r w:rsidRPr="006278C0">
              <w:rPr>
                <w:rFonts w:ascii="Times New Roman" w:hAnsi="Times New Roman" w:cs="Times New Roman"/>
                <w:sz w:val="24"/>
                <w:szCs w:val="24"/>
              </w:rPr>
              <w:t>Μισθολογικό</w:t>
            </w:r>
            <w:proofErr w:type="spellEnd"/>
            <w:r w:rsidRPr="006278C0">
              <w:rPr>
                <w:rFonts w:ascii="Times New Roman" w:hAnsi="Times New Roman" w:cs="Times New Roman"/>
                <w:spacing w:val="-2"/>
                <w:sz w:val="24"/>
                <w:szCs w:val="24"/>
              </w:rPr>
              <w:t xml:space="preserve"> </w:t>
            </w:r>
            <w:proofErr w:type="spellStart"/>
            <w:r w:rsidRPr="006278C0">
              <w:rPr>
                <w:rFonts w:ascii="Times New Roman" w:hAnsi="Times New Roman" w:cs="Times New Roman"/>
                <w:sz w:val="24"/>
                <w:szCs w:val="24"/>
              </w:rPr>
              <w:t>κόστος</w:t>
            </w:r>
            <w:proofErr w:type="spellEnd"/>
            <w:r w:rsidRPr="006278C0">
              <w:rPr>
                <w:rFonts w:ascii="Times New Roman" w:hAnsi="Times New Roman" w:cs="Times New Roman"/>
                <w:spacing w:val="1"/>
                <w:sz w:val="24"/>
                <w:szCs w:val="24"/>
              </w:rPr>
              <w:t xml:space="preserve"> </w:t>
            </w:r>
            <w:proofErr w:type="spellStart"/>
            <w:r w:rsidRPr="006278C0">
              <w:rPr>
                <w:rFonts w:ascii="Times New Roman" w:hAnsi="Times New Roman" w:cs="Times New Roman"/>
                <w:sz w:val="24"/>
                <w:szCs w:val="24"/>
              </w:rPr>
              <w:t>νέων</w:t>
            </w:r>
            <w:proofErr w:type="spellEnd"/>
            <w:r w:rsidRPr="006278C0">
              <w:rPr>
                <w:rFonts w:ascii="Times New Roman" w:hAnsi="Times New Roman" w:cs="Times New Roman"/>
                <w:spacing w:val="-1"/>
                <w:sz w:val="24"/>
                <w:szCs w:val="24"/>
              </w:rPr>
              <w:t xml:space="preserve"> </w:t>
            </w:r>
            <w:proofErr w:type="spellStart"/>
            <w:r w:rsidRPr="006278C0">
              <w:rPr>
                <w:rFonts w:ascii="Times New Roman" w:hAnsi="Times New Roman" w:cs="Times New Roman"/>
                <w:sz w:val="24"/>
                <w:szCs w:val="24"/>
              </w:rPr>
              <w:t>εργ</w:t>
            </w:r>
            <w:proofErr w:type="spellEnd"/>
            <w:r w:rsidRPr="006278C0">
              <w:rPr>
                <w:rFonts w:ascii="Times New Roman" w:hAnsi="Times New Roman" w:cs="Times New Roman"/>
                <w:sz w:val="24"/>
                <w:szCs w:val="24"/>
              </w:rPr>
              <w:t>αζομένων</w:t>
            </w:r>
          </w:p>
        </w:tc>
        <w:tc>
          <w:tcPr>
            <w:tcW w:w="2977" w:type="dxa"/>
            <w:vMerge/>
            <w:tcBorders>
              <w:top w:val="single" w:sz="4" w:space="0" w:color="000000"/>
              <w:left w:val="single" w:sz="4" w:space="0" w:color="000000"/>
              <w:bottom w:val="single" w:sz="4" w:space="0" w:color="000000"/>
              <w:right w:val="single" w:sz="8" w:space="0" w:color="000000"/>
            </w:tcBorders>
            <w:vAlign w:val="center"/>
            <w:hideMark/>
          </w:tcPr>
          <w:p w14:paraId="2F2BFADB" w14:textId="77777777" w:rsidR="00026D85" w:rsidRPr="006278C0" w:rsidRDefault="00026D85" w:rsidP="006278C0">
            <w:pPr>
              <w:spacing w:before="120" w:after="120"/>
              <w:jc w:val="center"/>
              <w:rPr>
                <w:rFonts w:ascii="Times New Roman" w:eastAsia="Calibri" w:hAnsi="Times New Roman" w:cs="Times New Roman"/>
                <w:sz w:val="24"/>
                <w:szCs w:val="24"/>
              </w:rPr>
            </w:pPr>
          </w:p>
        </w:tc>
      </w:tr>
      <w:tr w:rsidR="00B14213" w:rsidRPr="006278C0" w14:paraId="65F45B00" w14:textId="77777777" w:rsidTr="00041AB4">
        <w:trPr>
          <w:trHeight w:val="599"/>
        </w:trPr>
        <w:tc>
          <w:tcPr>
            <w:tcW w:w="851" w:type="dxa"/>
            <w:tcBorders>
              <w:top w:val="single" w:sz="4" w:space="0" w:color="000000"/>
              <w:left w:val="single" w:sz="8" w:space="0" w:color="000000"/>
              <w:bottom w:val="single" w:sz="4" w:space="0" w:color="000000"/>
              <w:right w:val="single" w:sz="4" w:space="0" w:color="000000"/>
            </w:tcBorders>
            <w:shd w:val="clear" w:color="auto" w:fill="F2F2F2"/>
            <w:hideMark/>
          </w:tcPr>
          <w:p w14:paraId="47B8D48A" w14:textId="77777777" w:rsidR="00026D85" w:rsidRPr="006278C0" w:rsidRDefault="00026D85" w:rsidP="006278C0">
            <w:pPr>
              <w:pStyle w:val="TableParagraph"/>
              <w:spacing w:before="120" w:after="120"/>
              <w:ind w:left="11"/>
              <w:jc w:val="center"/>
              <w:rPr>
                <w:rFonts w:ascii="Times New Roman" w:hAnsi="Times New Roman" w:cs="Times New Roman"/>
                <w:sz w:val="24"/>
                <w:szCs w:val="24"/>
              </w:rPr>
            </w:pPr>
            <w:r w:rsidRPr="006278C0">
              <w:rPr>
                <w:rFonts w:ascii="Times New Roman" w:hAnsi="Times New Roman" w:cs="Times New Roman"/>
                <w:sz w:val="24"/>
                <w:szCs w:val="24"/>
              </w:rPr>
              <w:t>9</w:t>
            </w:r>
          </w:p>
        </w:tc>
        <w:tc>
          <w:tcPr>
            <w:tcW w:w="5103" w:type="dxa"/>
            <w:tcBorders>
              <w:top w:val="single" w:sz="4" w:space="0" w:color="000000"/>
              <w:left w:val="single" w:sz="4" w:space="0" w:color="000000"/>
              <w:bottom w:val="single" w:sz="4" w:space="0" w:color="000000"/>
              <w:right w:val="single" w:sz="4" w:space="0" w:color="000000"/>
            </w:tcBorders>
            <w:shd w:val="clear" w:color="auto" w:fill="F2F2F2"/>
            <w:hideMark/>
          </w:tcPr>
          <w:p w14:paraId="18BE8A2D" w14:textId="77777777" w:rsidR="00026D85" w:rsidRPr="006278C0" w:rsidRDefault="00026D85" w:rsidP="006278C0">
            <w:pPr>
              <w:pStyle w:val="TableParagraph"/>
              <w:spacing w:before="120" w:after="120"/>
              <w:ind w:left="281"/>
              <w:rPr>
                <w:rFonts w:ascii="Times New Roman" w:hAnsi="Times New Roman" w:cs="Times New Roman"/>
                <w:sz w:val="24"/>
                <w:szCs w:val="24"/>
              </w:rPr>
            </w:pPr>
            <w:proofErr w:type="spellStart"/>
            <w:r w:rsidRPr="006278C0">
              <w:rPr>
                <w:rFonts w:ascii="Times New Roman" w:hAnsi="Times New Roman" w:cs="Times New Roman"/>
                <w:sz w:val="24"/>
                <w:szCs w:val="24"/>
              </w:rPr>
              <w:t>Έμμεσες</w:t>
            </w:r>
            <w:proofErr w:type="spellEnd"/>
            <w:r w:rsidRPr="006278C0">
              <w:rPr>
                <w:rFonts w:ascii="Times New Roman" w:hAnsi="Times New Roman" w:cs="Times New Roman"/>
                <w:spacing w:val="-1"/>
                <w:sz w:val="24"/>
                <w:szCs w:val="24"/>
              </w:rPr>
              <w:t xml:space="preserve"> </w:t>
            </w:r>
            <w:r w:rsidRPr="006278C0">
              <w:rPr>
                <w:rFonts w:ascii="Times New Roman" w:hAnsi="Times New Roman" w:cs="Times New Roman"/>
                <w:sz w:val="24"/>
                <w:szCs w:val="24"/>
              </w:rPr>
              <w:t>δαπ</w:t>
            </w:r>
            <w:proofErr w:type="spellStart"/>
            <w:r w:rsidRPr="006278C0">
              <w:rPr>
                <w:rFonts w:ascii="Times New Roman" w:hAnsi="Times New Roman" w:cs="Times New Roman"/>
                <w:sz w:val="24"/>
                <w:szCs w:val="24"/>
              </w:rPr>
              <w:t>άνες</w:t>
            </w:r>
            <w:proofErr w:type="spellEnd"/>
          </w:p>
        </w:tc>
        <w:tc>
          <w:tcPr>
            <w:tcW w:w="2977" w:type="dxa"/>
            <w:tcBorders>
              <w:top w:val="single" w:sz="4" w:space="0" w:color="000000"/>
              <w:left w:val="single" w:sz="4" w:space="0" w:color="000000"/>
              <w:bottom w:val="single" w:sz="4" w:space="0" w:color="000000"/>
              <w:right w:val="single" w:sz="8" w:space="0" w:color="000000"/>
            </w:tcBorders>
            <w:shd w:val="clear" w:color="auto" w:fill="F2F2F2"/>
            <w:vAlign w:val="center"/>
            <w:hideMark/>
          </w:tcPr>
          <w:p w14:paraId="60C7A43B" w14:textId="77777777" w:rsidR="00026D85" w:rsidRPr="006278C0" w:rsidRDefault="00026D85" w:rsidP="006278C0">
            <w:pPr>
              <w:pStyle w:val="TableParagraph"/>
              <w:spacing w:before="120" w:after="120"/>
              <w:ind w:left="209" w:right="148" w:hanging="20"/>
              <w:jc w:val="center"/>
              <w:rPr>
                <w:rFonts w:ascii="Times New Roman" w:hAnsi="Times New Roman" w:cs="Times New Roman"/>
                <w:sz w:val="24"/>
                <w:szCs w:val="24"/>
                <w:lang w:val="el-GR"/>
              </w:rPr>
            </w:pPr>
            <w:proofErr w:type="spellStart"/>
            <w:r w:rsidRPr="006278C0">
              <w:rPr>
                <w:rFonts w:ascii="Times New Roman" w:hAnsi="Times New Roman" w:cs="Times New Roman"/>
                <w:sz w:val="24"/>
                <w:szCs w:val="24"/>
                <w:lang w:val="el-GR"/>
              </w:rPr>
              <w:t>Εως</w:t>
            </w:r>
            <w:proofErr w:type="spellEnd"/>
            <w:r w:rsidRPr="006278C0">
              <w:rPr>
                <w:rFonts w:ascii="Times New Roman" w:hAnsi="Times New Roman" w:cs="Times New Roman"/>
                <w:sz w:val="24"/>
                <w:szCs w:val="24"/>
                <w:lang w:val="el-GR"/>
              </w:rPr>
              <w:t xml:space="preserve"> 7% επί των επιλέξιμων άμεσων</w:t>
            </w:r>
            <w:r w:rsidRPr="006278C0">
              <w:rPr>
                <w:rFonts w:ascii="Times New Roman" w:hAnsi="Times New Roman" w:cs="Times New Roman"/>
                <w:spacing w:val="-47"/>
                <w:sz w:val="24"/>
                <w:szCs w:val="24"/>
                <w:lang w:val="el-GR"/>
              </w:rPr>
              <w:t xml:space="preserve"> </w:t>
            </w:r>
            <w:r w:rsidRPr="006278C0">
              <w:rPr>
                <w:rFonts w:ascii="Times New Roman" w:hAnsi="Times New Roman" w:cs="Times New Roman"/>
                <w:sz w:val="24"/>
                <w:szCs w:val="24"/>
                <w:lang w:val="el-GR"/>
              </w:rPr>
              <w:t>δαπανών</w:t>
            </w:r>
            <w:r w:rsidRPr="006278C0">
              <w:rPr>
                <w:rFonts w:ascii="Times New Roman" w:hAnsi="Times New Roman" w:cs="Times New Roman"/>
                <w:spacing w:val="-3"/>
                <w:sz w:val="24"/>
                <w:szCs w:val="24"/>
                <w:lang w:val="el-GR"/>
              </w:rPr>
              <w:t xml:space="preserve"> </w:t>
            </w:r>
            <w:r w:rsidRPr="006278C0">
              <w:rPr>
                <w:rFonts w:ascii="Times New Roman" w:hAnsi="Times New Roman" w:cs="Times New Roman"/>
                <w:sz w:val="24"/>
                <w:szCs w:val="24"/>
                <w:lang w:val="el-GR"/>
              </w:rPr>
              <w:t>του επενδυτικού</w:t>
            </w:r>
            <w:r w:rsidRPr="006278C0">
              <w:rPr>
                <w:rFonts w:ascii="Times New Roman" w:hAnsi="Times New Roman" w:cs="Times New Roman"/>
                <w:spacing w:val="-2"/>
                <w:sz w:val="24"/>
                <w:szCs w:val="24"/>
                <w:lang w:val="el-GR"/>
              </w:rPr>
              <w:t xml:space="preserve"> </w:t>
            </w:r>
            <w:r w:rsidRPr="006278C0">
              <w:rPr>
                <w:rFonts w:ascii="Times New Roman" w:hAnsi="Times New Roman" w:cs="Times New Roman"/>
                <w:sz w:val="24"/>
                <w:szCs w:val="24"/>
                <w:lang w:val="el-GR"/>
              </w:rPr>
              <w:t>σχεδίου</w:t>
            </w:r>
          </w:p>
        </w:tc>
      </w:tr>
    </w:tbl>
    <w:p w14:paraId="5E5634F9" w14:textId="77777777" w:rsidR="00026D85" w:rsidRDefault="00026D85" w:rsidP="00026D85">
      <w:pPr>
        <w:rPr>
          <w:rFonts w:ascii="Times New Roman"/>
        </w:rPr>
      </w:pPr>
    </w:p>
    <w:p w14:paraId="02CB49AE" w14:textId="77777777" w:rsidR="00026D85" w:rsidRPr="00026D85" w:rsidRDefault="00026D85" w:rsidP="00026D85">
      <w:pPr>
        <w:pStyle w:val="af0"/>
        <w:rPr>
          <w:b/>
          <w:bCs w:val="0"/>
          <w:color w:val="0070C0"/>
        </w:rPr>
      </w:pPr>
      <w:r w:rsidRPr="00026D85">
        <w:rPr>
          <w:b/>
          <w:bCs w:val="0"/>
          <w:color w:val="0070C0"/>
        </w:rPr>
        <w:t>Διαδικασίες Υποβολής, Αξιολόγησης και Υλοποίησης</w:t>
      </w:r>
    </w:p>
    <w:p w14:paraId="4BD658E0" w14:textId="77777777" w:rsidR="00026D85" w:rsidRDefault="00026D85" w:rsidP="000B6337">
      <w:pPr>
        <w:pStyle w:val="af0"/>
      </w:pPr>
      <w:r>
        <w:t>Οι υποβολές αιτήσεων ένταξης στη Δράση θα γίνονται αποκλειστικά ηλεκτρονικά, μέσω του</w:t>
      </w:r>
      <w:r w:rsidRPr="00026D85">
        <w:t xml:space="preserve"> </w:t>
      </w:r>
      <w:r>
        <w:t>Ολοκληρωμένου Πληροφοριακού Συστήματος Διαχείρισης Κρατικών Ενισχύσεων (ΟΠΣΚΕ).</w:t>
      </w:r>
      <w:r w:rsidRPr="00026D85">
        <w:t xml:space="preserve"> </w:t>
      </w:r>
      <w:r>
        <w:t>Δεν</w:t>
      </w:r>
      <w:r w:rsidRPr="00026D85">
        <w:t xml:space="preserve"> </w:t>
      </w:r>
      <w:r>
        <w:t>θα</w:t>
      </w:r>
      <w:r w:rsidRPr="00026D85">
        <w:t xml:space="preserve"> </w:t>
      </w:r>
      <w:r>
        <w:t>απαιτείται</w:t>
      </w:r>
      <w:r w:rsidRPr="00026D85">
        <w:t xml:space="preserve"> </w:t>
      </w:r>
      <w:r>
        <w:t>η</w:t>
      </w:r>
      <w:r w:rsidRPr="00026D85">
        <w:t xml:space="preserve"> </w:t>
      </w:r>
      <w:r>
        <w:t>προσκόμιση/πρωτοκόλληση</w:t>
      </w:r>
      <w:r w:rsidRPr="00026D85">
        <w:t xml:space="preserve"> </w:t>
      </w:r>
      <w:r>
        <w:t>φυσικού</w:t>
      </w:r>
      <w:r w:rsidRPr="00026D85">
        <w:t xml:space="preserve"> </w:t>
      </w:r>
      <w:r>
        <w:t>φακέλου</w:t>
      </w:r>
      <w:r w:rsidRPr="00026D85">
        <w:t xml:space="preserve"> </w:t>
      </w:r>
      <w:r>
        <w:t>δικαιολογητικών.</w:t>
      </w:r>
    </w:p>
    <w:p w14:paraId="791C70D8" w14:textId="77777777" w:rsidR="00026D85" w:rsidRDefault="00026D85" w:rsidP="000B6337">
      <w:pPr>
        <w:pStyle w:val="af0"/>
      </w:pPr>
      <w:r w:rsidRPr="00026D85">
        <w:t xml:space="preserve">Η προθεσμία υποβολής, τα απαιτούμενα δικαιολογητικά, οι υποχρεώσεις </w:t>
      </w:r>
      <w:r>
        <w:t>των</w:t>
      </w:r>
      <w:r w:rsidRPr="00026D85">
        <w:t xml:space="preserve"> </w:t>
      </w:r>
      <w:r>
        <w:t>δικαιούχων</w:t>
      </w:r>
      <w:r w:rsidRPr="00026D85">
        <w:t xml:space="preserve"> </w:t>
      </w:r>
      <w:r>
        <w:t>και</w:t>
      </w:r>
      <w:r w:rsidRPr="00026D85">
        <w:t xml:space="preserve"> </w:t>
      </w:r>
      <w:r>
        <w:t>οι λοιποί όροι της Δράσης θα αναλύονται στην αναλυτική πρόσκληση που αναμένεται να</w:t>
      </w:r>
      <w:r w:rsidRPr="00026D85">
        <w:t xml:space="preserve"> </w:t>
      </w:r>
      <w:r>
        <w:t>δημοσιευτεί.</w:t>
      </w:r>
    </w:p>
    <w:p w14:paraId="5322011C" w14:textId="77777777" w:rsidR="00026D85" w:rsidRDefault="00026D85" w:rsidP="000B6337">
      <w:pPr>
        <w:pStyle w:val="af0"/>
      </w:pPr>
      <w:r>
        <w:t>Επισημαίνεται</w:t>
      </w:r>
      <w:r w:rsidRPr="00026D85">
        <w:t xml:space="preserve"> </w:t>
      </w:r>
      <w:r>
        <w:t>ότι</w:t>
      </w:r>
      <w:r w:rsidRPr="00026D85">
        <w:t xml:space="preserve"> </w:t>
      </w:r>
      <w:r>
        <w:t>αναμένεται</w:t>
      </w:r>
      <w:r w:rsidRPr="00026D85">
        <w:t xml:space="preserve"> </w:t>
      </w:r>
      <w:r>
        <w:t>στο</w:t>
      </w:r>
      <w:r w:rsidRPr="00026D85">
        <w:t xml:space="preserve"> </w:t>
      </w:r>
      <w:r>
        <w:t>πλαίσιο</w:t>
      </w:r>
      <w:r w:rsidRPr="00026D85">
        <w:t xml:space="preserve"> </w:t>
      </w:r>
      <w:r>
        <w:t>της</w:t>
      </w:r>
      <w:r w:rsidRPr="00026D85">
        <w:t xml:space="preserve"> </w:t>
      </w:r>
      <w:r>
        <w:t>Δράσης</w:t>
      </w:r>
      <w:r w:rsidRPr="00026D85">
        <w:t xml:space="preserve"> </w:t>
      </w:r>
      <w:r>
        <w:t>να</w:t>
      </w:r>
      <w:r w:rsidRPr="00026D85">
        <w:t xml:space="preserve"> </w:t>
      </w:r>
      <w:r>
        <w:t>ισχύουν</w:t>
      </w:r>
      <w:r w:rsidRPr="00026D85">
        <w:t xml:space="preserve"> </w:t>
      </w:r>
      <w:r>
        <w:t>τα</w:t>
      </w:r>
      <w:r w:rsidRPr="00026D85">
        <w:t xml:space="preserve"> </w:t>
      </w:r>
      <w:r>
        <w:t>κάτωθι:</w:t>
      </w:r>
    </w:p>
    <w:p w14:paraId="5A9165B6" w14:textId="77777777" w:rsidR="00026D85" w:rsidRPr="00026D85" w:rsidRDefault="00026D85" w:rsidP="000B6337">
      <w:pPr>
        <w:pStyle w:val="af0"/>
        <w:numPr>
          <w:ilvl w:val="0"/>
          <w:numId w:val="36"/>
        </w:numPr>
      </w:pPr>
      <w:r w:rsidRPr="00026D85">
        <w:t xml:space="preserve">Δεν θα είναι επιτρεπτή ουσιώδης αλλαγή ως προς το βασικό φυσικό αντικείμενο και τη </w:t>
      </w:r>
      <w:proofErr w:type="spellStart"/>
      <w:r w:rsidRPr="00026D85">
        <w:t>χωροθέτηση</w:t>
      </w:r>
      <w:proofErr w:type="spellEnd"/>
      <w:r w:rsidRPr="00026D85">
        <w:t xml:space="preserve"> της επένδυσης.</w:t>
      </w:r>
    </w:p>
    <w:p w14:paraId="16F7EF74" w14:textId="77777777" w:rsidR="00026D85" w:rsidRPr="00026D85" w:rsidRDefault="00026D85" w:rsidP="000B6337">
      <w:pPr>
        <w:pStyle w:val="af0"/>
        <w:numPr>
          <w:ilvl w:val="0"/>
          <w:numId w:val="36"/>
        </w:numPr>
      </w:pPr>
      <w:r w:rsidRPr="00026D85">
        <w:t>Δεν θα είναι επιτρεπτή ουσιώδης αλλαγή ή διαφοροποίηση ως προς τα πρόσωπα και τα ποσοστά συμμετοχής καθ’ όλη τη διάρκεια του έργου, από την υποβολή αίτησης χρηματοδότησης και μέχρι την ολοκλήρωση και αποπληρωμή της επένδυσης.</w:t>
      </w:r>
    </w:p>
    <w:p w14:paraId="40AA040A" w14:textId="77777777" w:rsidR="00026D85" w:rsidRPr="00026D85" w:rsidRDefault="00026D85" w:rsidP="000B6337">
      <w:pPr>
        <w:pStyle w:val="af0"/>
        <w:numPr>
          <w:ilvl w:val="0"/>
          <w:numId w:val="36"/>
        </w:numPr>
      </w:pPr>
      <w:r w:rsidRPr="00026D85">
        <w:t>Δεν θα είναι επιτρεπτή η συμμετοχή Φυσικού/Νομικού Προσώπου ως εταίρου σε περισσότερες από μία εγκεκριμένες αιτήσεις χρηματοδότησης.</w:t>
      </w:r>
    </w:p>
    <w:p w14:paraId="5569D7BC" w14:textId="77777777" w:rsidR="00026D85" w:rsidRDefault="00026D85" w:rsidP="000B6337">
      <w:pPr>
        <w:pStyle w:val="af0"/>
      </w:pPr>
      <w:r>
        <w:t>Η</w:t>
      </w:r>
      <w:r w:rsidRPr="00026D85">
        <w:t xml:space="preserve"> </w:t>
      </w:r>
      <w:r>
        <w:t>διαδικασία</w:t>
      </w:r>
      <w:r w:rsidRPr="00026D85">
        <w:t xml:space="preserve"> </w:t>
      </w:r>
      <w:r>
        <w:t>αξιολόγησης</w:t>
      </w:r>
      <w:r w:rsidRPr="00026D85">
        <w:t xml:space="preserve"> </w:t>
      </w:r>
      <w:r>
        <w:t>των</w:t>
      </w:r>
      <w:r w:rsidRPr="00026D85">
        <w:t xml:space="preserve"> </w:t>
      </w:r>
      <w:r>
        <w:t>αιτήσεων</w:t>
      </w:r>
      <w:r w:rsidRPr="00026D85">
        <w:t xml:space="preserve"> </w:t>
      </w:r>
      <w:r>
        <w:t>ένταξης</w:t>
      </w:r>
      <w:r w:rsidRPr="00026D85">
        <w:t xml:space="preserve"> </w:t>
      </w:r>
      <w:r>
        <w:t>αναμένεται</w:t>
      </w:r>
      <w:r w:rsidRPr="00026D85">
        <w:t xml:space="preserve"> </w:t>
      </w:r>
      <w:r>
        <w:t>να</w:t>
      </w:r>
      <w:r w:rsidRPr="00026D85">
        <w:t xml:space="preserve"> </w:t>
      </w:r>
      <w:r>
        <w:t>είναι</w:t>
      </w:r>
      <w:r w:rsidRPr="00026D85">
        <w:t xml:space="preserve"> </w:t>
      </w:r>
      <w:r>
        <w:t>άμεση</w:t>
      </w:r>
      <w:r w:rsidRPr="00026D85">
        <w:t xml:space="preserve"> </w:t>
      </w:r>
      <w:r>
        <w:t>και</w:t>
      </w:r>
      <w:r w:rsidRPr="00026D85">
        <w:t xml:space="preserve"> </w:t>
      </w:r>
      <w:r>
        <w:t>τα</w:t>
      </w:r>
      <w:r w:rsidRPr="00026D85">
        <w:t xml:space="preserve"> </w:t>
      </w:r>
      <w:r>
        <w:t>επενδυτικά</w:t>
      </w:r>
      <w:r w:rsidRPr="00026D85">
        <w:t xml:space="preserve"> </w:t>
      </w:r>
      <w:r>
        <w:t>σχέδια</w:t>
      </w:r>
      <w:r w:rsidRPr="00026D85">
        <w:t xml:space="preserve"> </w:t>
      </w:r>
      <w:r>
        <w:t>θα</w:t>
      </w:r>
      <w:r w:rsidRPr="00026D85">
        <w:t xml:space="preserve"> </w:t>
      </w:r>
      <w:r>
        <w:t>εξετάζονται</w:t>
      </w:r>
      <w:r w:rsidRPr="00026D85">
        <w:t xml:space="preserve"> </w:t>
      </w:r>
      <w:r>
        <w:t>σύμφωνα</w:t>
      </w:r>
      <w:r w:rsidRPr="00026D85">
        <w:t xml:space="preserve"> </w:t>
      </w:r>
      <w:r>
        <w:t>με</w:t>
      </w:r>
      <w:r w:rsidRPr="00026D85">
        <w:t xml:space="preserve"> </w:t>
      </w:r>
      <w:r>
        <w:t>τη</w:t>
      </w:r>
      <w:r w:rsidRPr="00026D85">
        <w:t xml:space="preserve"> </w:t>
      </w:r>
      <w:r>
        <w:t>σειρά</w:t>
      </w:r>
      <w:r w:rsidRPr="00026D85">
        <w:t xml:space="preserve"> </w:t>
      </w:r>
      <w:r>
        <w:t>που</w:t>
      </w:r>
      <w:r w:rsidRPr="00026D85">
        <w:t xml:space="preserve"> </w:t>
      </w:r>
      <w:r>
        <w:t>υποβάλλονται</w:t>
      </w:r>
      <w:r w:rsidRPr="00026D85">
        <w:t xml:space="preserve"> </w:t>
      </w:r>
      <w:r>
        <w:t>μέχρι</w:t>
      </w:r>
      <w:r w:rsidRPr="00026D85">
        <w:t xml:space="preserve"> </w:t>
      </w:r>
      <w:r>
        <w:lastRenderedPageBreak/>
        <w:t xml:space="preserve">εξάντλησης του προϋπολογισμού της Δράσης (FIFO – First In First </w:t>
      </w:r>
      <w:proofErr w:type="spellStart"/>
      <w:r>
        <w:t>Out</w:t>
      </w:r>
      <w:proofErr w:type="spellEnd"/>
      <w:r>
        <w:t>). Σε πρώτη φάση θα</w:t>
      </w:r>
      <w:r w:rsidRPr="00026D85">
        <w:t xml:space="preserve"> </w:t>
      </w:r>
      <w:r>
        <w:t>πραγματοποιείται έλεγχος των προϋποθέσεων συμμετοχής και εν συνεχεία τα επιλέξιμα</w:t>
      </w:r>
      <w:r w:rsidRPr="00026D85">
        <w:t xml:space="preserve"> </w:t>
      </w:r>
      <w:r>
        <w:t>επενδυτικά</w:t>
      </w:r>
      <w:r w:rsidRPr="00026D85">
        <w:t xml:space="preserve"> </w:t>
      </w:r>
      <w:r>
        <w:t>σχέδια</w:t>
      </w:r>
      <w:r w:rsidRPr="00026D85">
        <w:t xml:space="preserve"> </w:t>
      </w:r>
      <w:r>
        <w:t>θα</w:t>
      </w:r>
      <w:r w:rsidRPr="00026D85">
        <w:t xml:space="preserve"> </w:t>
      </w:r>
      <w:r>
        <w:t>βαθμολογούνται</w:t>
      </w:r>
      <w:r w:rsidRPr="00026D85">
        <w:t xml:space="preserve"> </w:t>
      </w:r>
      <w:r>
        <w:t>βάσει</w:t>
      </w:r>
      <w:r w:rsidRPr="00026D85">
        <w:t xml:space="preserve"> </w:t>
      </w:r>
      <w:r>
        <w:t>κριτηρίων,</w:t>
      </w:r>
      <w:r w:rsidRPr="00026D85">
        <w:t xml:space="preserve"> </w:t>
      </w:r>
      <w:r>
        <w:t>τα</w:t>
      </w:r>
      <w:r w:rsidRPr="00026D85">
        <w:t xml:space="preserve"> </w:t>
      </w:r>
      <w:r>
        <w:t>αφορούν:</w:t>
      </w:r>
    </w:p>
    <w:p w14:paraId="58863AE9" w14:textId="77777777" w:rsidR="00026D85" w:rsidRPr="00026D85" w:rsidRDefault="00026D85" w:rsidP="000B6337">
      <w:pPr>
        <w:pStyle w:val="af0"/>
        <w:numPr>
          <w:ilvl w:val="0"/>
          <w:numId w:val="37"/>
        </w:numPr>
      </w:pPr>
      <w:r w:rsidRPr="00026D85">
        <w:t>την εξασφάλιση ιδιωτικής συμμετοχής με βαθμολόγηση της διαθεσιμότητας των κεφαλαίων των εταίρων.</w:t>
      </w:r>
    </w:p>
    <w:p w14:paraId="308EE0E6" w14:textId="77777777" w:rsidR="00026D85" w:rsidRPr="00026D85" w:rsidRDefault="00026D85" w:rsidP="000B6337">
      <w:pPr>
        <w:pStyle w:val="af0"/>
        <w:numPr>
          <w:ilvl w:val="0"/>
          <w:numId w:val="37"/>
        </w:numPr>
      </w:pPr>
      <w:r w:rsidRPr="00026D85">
        <w:t>την εμπειρία εταίρων/μετόχων της επιχείρησης για την υλοποίηση του επενδυτικού σχεδίου.</w:t>
      </w:r>
    </w:p>
    <w:p w14:paraId="7456B2BD" w14:textId="77777777" w:rsidR="00026D85" w:rsidRPr="00026D85" w:rsidRDefault="00026D85" w:rsidP="000B6337">
      <w:pPr>
        <w:pStyle w:val="af0"/>
        <w:numPr>
          <w:ilvl w:val="0"/>
          <w:numId w:val="37"/>
        </w:numPr>
      </w:pPr>
      <w:r w:rsidRPr="00026D85">
        <w:t>τον τόπο υλοποίησης της επένδυσης (</w:t>
      </w:r>
      <w:proofErr w:type="spellStart"/>
      <w:r w:rsidRPr="00026D85">
        <w:t>πριμοδοτούνται</w:t>
      </w:r>
      <w:proofErr w:type="spellEnd"/>
      <w:r w:rsidRPr="00026D85">
        <w:t xml:space="preserve"> επενδύσεις που θα υλοποιηθούν σε δυσπρόσιτες περιοχές)</w:t>
      </w:r>
    </w:p>
    <w:p w14:paraId="3D13FF09" w14:textId="77777777" w:rsidR="00026D85" w:rsidRPr="00026D85" w:rsidRDefault="00026D85" w:rsidP="000B6337">
      <w:pPr>
        <w:pStyle w:val="af0"/>
        <w:numPr>
          <w:ilvl w:val="0"/>
          <w:numId w:val="37"/>
        </w:numPr>
      </w:pPr>
      <w:r w:rsidRPr="00026D85">
        <w:t>την ωριμότητα επενδυτικού σχεδίου, αναφορικά στις απαιτούμενες άδειες για την έναρξη υλοποίησης του επενδυτικού σχεδίου.</w:t>
      </w:r>
    </w:p>
    <w:p w14:paraId="432BD835" w14:textId="77777777" w:rsidR="00026D85" w:rsidRDefault="00026D85" w:rsidP="000B6337">
      <w:pPr>
        <w:pStyle w:val="af0"/>
        <w:numPr>
          <w:ilvl w:val="0"/>
          <w:numId w:val="37"/>
        </w:numPr>
      </w:pPr>
      <w:r>
        <w:t>την</w:t>
      </w:r>
      <w:r w:rsidRPr="00026D85">
        <w:t xml:space="preserve"> </w:t>
      </w:r>
      <w:proofErr w:type="spellStart"/>
      <w:r>
        <w:t>εφικτότητα</w:t>
      </w:r>
      <w:proofErr w:type="spellEnd"/>
      <w:r w:rsidRPr="00026D85">
        <w:t xml:space="preserve"> </w:t>
      </w:r>
      <w:r>
        <w:t>χρονοδιαγράμματος</w:t>
      </w:r>
      <w:r w:rsidRPr="00026D85">
        <w:t xml:space="preserve"> </w:t>
      </w:r>
      <w:r>
        <w:t>υλοποίησης.</w:t>
      </w:r>
    </w:p>
    <w:p w14:paraId="04123E3A" w14:textId="77777777" w:rsidR="00026D85" w:rsidRPr="00026D85" w:rsidRDefault="00026D85" w:rsidP="000B6337">
      <w:pPr>
        <w:pStyle w:val="af0"/>
        <w:numPr>
          <w:ilvl w:val="0"/>
          <w:numId w:val="37"/>
        </w:numPr>
      </w:pPr>
      <w:r w:rsidRPr="00026D85">
        <w:t>τη συνάφεια επενδυτικού σχεδίου με την Εθνική Στρατηγική Έξυπνης Εξειδίκευσης 2021-2027.</w:t>
      </w:r>
    </w:p>
    <w:p w14:paraId="3296473A" w14:textId="77777777" w:rsidR="003D2C96" w:rsidRDefault="003D2C96" w:rsidP="003D3219">
      <w:pPr>
        <w:pStyle w:val="af0"/>
      </w:pPr>
    </w:p>
    <w:p w14:paraId="4E67A1D0" w14:textId="77777777" w:rsidR="00003728" w:rsidRDefault="00003728" w:rsidP="003D3219">
      <w:pPr>
        <w:pStyle w:val="af0"/>
      </w:pPr>
    </w:p>
    <w:p w14:paraId="1908BEF0" w14:textId="77777777" w:rsidR="006278C0" w:rsidRDefault="006278C0" w:rsidP="003D3219">
      <w:pPr>
        <w:pStyle w:val="af0"/>
      </w:pPr>
    </w:p>
    <w:p w14:paraId="13C8B4B5" w14:textId="77777777" w:rsidR="006278C0" w:rsidRDefault="006278C0" w:rsidP="003D3219">
      <w:pPr>
        <w:pStyle w:val="af0"/>
      </w:pPr>
    </w:p>
    <w:p w14:paraId="4E621F9E" w14:textId="77777777" w:rsidR="006278C0" w:rsidRDefault="006278C0" w:rsidP="003D3219">
      <w:pPr>
        <w:pStyle w:val="af0"/>
      </w:pPr>
    </w:p>
    <w:p w14:paraId="622C2E9C" w14:textId="77777777" w:rsidR="006278C0" w:rsidRDefault="006278C0" w:rsidP="003D3219">
      <w:pPr>
        <w:pStyle w:val="af0"/>
      </w:pPr>
    </w:p>
    <w:p w14:paraId="0408199A" w14:textId="77777777" w:rsidR="006278C0" w:rsidRDefault="006278C0" w:rsidP="003D3219">
      <w:pPr>
        <w:pStyle w:val="af0"/>
      </w:pPr>
    </w:p>
    <w:p w14:paraId="2514F072" w14:textId="77777777" w:rsidR="006278C0" w:rsidRDefault="006278C0" w:rsidP="003D3219">
      <w:pPr>
        <w:pStyle w:val="af0"/>
      </w:pPr>
    </w:p>
    <w:p w14:paraId="0DF0DCC3" w14:textId="77777777" w:rsidR="006278C0" w:rsidRDefault="006278C0" w:rsidP="003D3219">
      <w:pPr>
        <w:pStyle w:val="af0"/>
      </w:pPr>
    </w:p>
    <w:p w14:paraId="798BC097" w14:textId="77777777" w:rsidR="006278C0" w:rsidRDefault="006278C0" w:rsidP="003D3219">
      <w:pPr>
        <w:pStyle w:val="af0"/>
      </w:pPr>
    </w:p>
    <w:p w14:paraId="0CCEBE51" w14:textId="77777777" w:rsidR="006278C0" w:rsidRDefault="006278C0" w:rsidP="003D3219">
      <w:pPr>
        <w:pStyle w:val="af0"/>
      </w:pPr>
    </w:p>
    <w:p w14:paraId="5F7089B8" w14:textId="77777777" w:rsidR="006278C0" w:rsidRDefault="006278C0" w:rsidP="003D3219">
      <w:pPr>
        <w:pStyle w:val="af0"/>
      </w:pPr>
    </w:p>
    <w:p w14:paraId="79031FA1" w14:textId="77777777" w:rsidR="006278C0" w:rsidRDefault="006278C0" w:rsidP="003D3219">
      <w:pPr>
        <w:pStyle w:val="af0"/>
      </w:pPr>
    </w:p>
    <w:p w14:paraId="14E55F6A" w14:textId="77777777" w:rsidR="006278C0" w:rsidRDefault="006278C0" w:rsidP="003D3219">
      <w:pPr>
        <w:pStyle w:val="af0"/>
      </w:pPr>
    </w:p>
    <w:p w14:paraId="68E18758" w14:textId="77777777" w:rsidR="006278C0" w:rsidRDefault="006278C0" w:rsidP="003D3219">
      <w:pPr>
        <w:pStyle w:val="af0"/>
      </w:pPr>
    </w:p>
    <w:p w14:paraId="7EF09132" w14:textId="77777777" w:rsidR="006278C0" w:rsidRDefault="006278C0" w:rsidP="003D3219">
      <w:pPr>
        <w:pStyle w:val="af0"/>
      </w:pPr>
    </w:p>
    <w:p w14:paraId="3E86D0A6" w14:textId="77777777" w:rsidR="006278C0" w:rsidRDefault="006278C0" w:rsidP="003D3219">
      <w:pPr>
        <w:pStyle w:val="af0"/>
      </w:pPr>
    </w:p>
    <w:p w14:paraId="370A9980" w14:textId="77777777" w:rsidR="006278C0" w:rsidRDefault="006278C0" w:rsidP="003D3219">
      <w:pPr>
        <w:pStyle w:val="af0"/>
      </w:pPr>
    </w:p>
    <w:p w14:paraId="244A5241" w14:textId="77777777" w:rsidR="00430EB6" w:rsidRDefault="00430EB6" w:rsidP="00041AB4">
      <w:pPr>
        <w:pStyle w:val="10"/>
        <w:numPr>
          <w:ilvl w:val="8"/>
          <w:numId w:val="9"/>
        </w:numPr>
        <w:shd w:val="clear" w:color="auto" w:fill="D9E2F3" w:themeFill="accent1" w:themeFillTint="33"/>
        <w:spacing w:before="240" w:after="120" w:line="288" w:lineRule="auto"/>
        <w:ind w:left="0" w:right="43" w:firstLine="0"/>
        <w:jc w:val="center"/>
      </w:pPr>
      <w:bookmarkStart w:id="4" w:name="_Toc139885144"/>
      <w:bookmarkStart w:id="5" w:name="_Toc145326330"/>
      <w:r w:rsidRPr="00957288">
        <w:lastRenderedPageBreak/>
        <w:t xml:space="preserve">ΘΕΜΑΤΑ </w:t>
      </w:r>
      <w:r>
        <w:t>ΧΩΡΟΤΑΞΙΑΣ</w:t>
      </w:r>
      <w:r w:rsidRPr="00957288">
        <w:t xml:space="preserve"> – </w:t>
      </w:r>
      <w:bookmarkEnd w:id="4"/>
      <w:r>
        <w:t>ΠΟΛΕΟΔΟΜΙΚΑ ΘΕΜΑΤΑ</w:t>
      </w:r>
      <w:bookmarkEnd w:id="5"/>
    </w:p>
    <w:p w14:paraId="4CCABE4E" w14:textId="77777777" w:rsidR="006278C0" w:rsidRDefault="006278C0" w:rsidP="00041AB4">
      <w:pPr>
        <w:pStyle w:val="20"/>
        <w:shd w:val="clear" w:color="auto" w:fill="D9D9D9" w:themeFill="background1" w:themeFillShade="D9"/>
        <w:spacing w:before="120" w:after="120" w:line="360" w:lineRule="auto"/>
        <w:ind w:right="45"/>
        <w:jc w:val="center"/>
        <w:rPr>
          <w:rFonts w:ascii="Times New Roman" w:hAnsi="Times New Roman" w:cs="Times New Roman"/>
          <w:b/>
          <w:bCs/>
          <w:color w:val="auto"/>
          <w:sz w:val="24"/>
          <w:szCs w:val="24"/>
        </w:rPr>
      </w:pPr>
      <w:bookmarkStart w:id="6" w:name="_Toc145326331"/>
      <w:r w:rsidRPr="00957288">
        <w:rPr>
          <w:rFonts w:ascii="Times New Roman" w:hAnsi="Times New Roman" w:cs="Times New Roman"/>
          <w:b/>
          <w:bCs/>
          <w:color w:val="auto"/>
          <w:sz w:val="24"/>
          <w:szCs w:val="24"/>
        </w:rPr>
        <w:t xml:space="preserve">Α. </w:t>
      </w:r>
      <w:r>
        <w:rPr>
          <w:rFonts w:ascii="Times New Roman" w:hAnsi="Times New Roman" w:cs="Times New Roman"/>
          <w:b/>
          <w:bCs/>
          <w:color w:val="auto"/>
          <w:sz w:val="24"/>
          <w:szCs w:val="24"/>
        </w:rPr>
        <w:t>Ε</w:t>
      </w:r>
      <w:r w:rsidRPr="0028724D">
        <w:rPr>
          <w:rFonts w:ascii="Times New Roman" w:hAnsi="Times New Roman" w:cs="Times New Roman"/>
          <w:b/>
          <w:bCs/>
          <w:color w:val="auto"/>
          <w:sz w:val="24"/>
          <w:szCs w:val="24"/>
        </w:rPr>
        <w:t xml:space="preserve">πίτευξη κατ’ εξαίρεση αρτιότητας και </w:t>
      </w:r>
      <w:proofErr w:type="spellStart"/>
      <w:r w:rsidRPr="0028724D">
        <w:rPr>
          <w:rFonts w:ascii="Times New Roman" w:hAnsi="Times New Roman" w:cs="Times New Roman"/>
          <w:b/>
          <w:bCs/>
          <w:color w:val="auto"/>
          <w:sz w:val="24"/>
          <w:szCs w:val="24"/>
        </w:rPr>
        <w:t>οικοδομησιμότητας</w:t>
      </w:r>
      <w:proofErr w:type="spellEnd"/>
      <w:r>
        <w:rPr>
          <w:rFonts w:ascii="Times New Roman" w:hAnsi="Times New Roman" w:cs="Times New Roman"/>
          <w:b/>
          <w:bCs/>
          <w:color w:val="auto"/>
          <w:sz w:val="24"/>
          <w:szCs w:val="24"/>
        </w:rPr>
        <w:t xml:space="preserve"> για την</w:t>
      </w:r>
      <w:r w:rsidRPr="0028724D">
        <w:rPr>
          <w:rFonts w:ascii="Times New Roman" w:hAnsi="Times New Roman" w:cs="Times New Roman"/>
          <w:b/>
          <w:bCs/>
          <w:color w:val="auto"/>
          <w:sz w:val="24"/>
          <w:szCs w:val="24"/>
        </w:rPr>
        <w:t xml:space="preserve"> αν</w:t>
      </w:r>
      <w:r>
        <w:rPr>
          <w:rFonts w:ascii="Times New Roman" w:hAnsi="Times New Roman" w:cs="Times New Roman"/>
          <w:b/>
          <w:bCs/>
          <w:color w:val="auto"/>
          <w:sz w:val="24"/>
          <w:szCs w:val="24"/>
        </w:rPr>
        <w:t>έ</w:t>
      </w:r>
      <w:r w:rsidRPr="0028724D">
        <w:rPr>
          <w:rFonts w:ascii="Times New Roman" w:hAnsi="Times New Roman" w:cs="Times New Roman"/>
          <w:b/>
          <w:bCs/>
          <w:color w:val="auto"/>
          <w:sz w:val="24"/>
          <w:szCs w:val="24"/>
        </w:rPr>
        <w:t>γερ</w:t>
      </w:r>
      <w:r>
        <w:rPr>
          <w:rFonts w:ascii="Times New Roman" w:hAnsi="Times New Roman" w:cs="Times New Roman"/>
          <w:b/>
          <w:bCs/>
          <w:color w:val="auto"/>
          <w:sz w:val="24"/>
          <w:szCs w:val="24"/>
        </w:rPr>
        <w:t>ση</w:t>
      </w:r>
      <w:r w:rsidRPr="0028724D">
        <w:rPr>
          <w:rFonts w:ascii="Times New Roman" w:hAnsi="Times New Roman" w:cs="Times New Roman"/>
          <w:b/>
          <w:bCs/>
          <w:color w:val="auto"/>
          <w:sz w:val="24"/>
          <w:szCs w:val="24"/>
        </w:rPr>
        <w:t xml:space="preserve"> τουριστικ</w:t>
      </w:r>
      <w:r>
        <w:rPr>
          <w:rFonts w:ascii="Times New Roman" w:hAnsi="Times New Roman" w:cs="Times New Roman"/>
          <w:b/>
          <w:bCs/>
          <w:color w:val="auto"/>
          <w:sz w:val="24"/>
          <w:szCs w:val="24"/>
        </w:rPr>
        <w:t>ών</w:t>
      </w:r>
      <w:r w:rsidRPr="0028724D">
        <w:rPr>
          <w:rFonts w:ascii="Times New Roman" w:hAnsi="Times New Roman" w:cs="Times New Roman"/>
          <w:b/>
          <w:bCs/>
          <w:color w:val="auto"/>
          <w:sz w:val="24"/>
          <w:szCs w:val="24"/>
        </w:rPr>
        <w:t xml:space="preserve"> καταλ</w:t>
      </w:r>
      <w:r>
        <w:rPr>
          <w:rFonts w:ascii="Times New Roman" w:hAnsi="Times New Roman" w:cs="Times New Roman"/>
          <w:b/>
          <w:bCs/>
          <w:color w:val="auto"/>
          <w:sz w:val="24"/>
          <w:szCs w:val="24"/>
        </w:rPr>
        <w:t>υ</w:t>
      </w:r>
      <w:r w:rsidRPr="0028724D">
        <w:rPr>
          <w:rFonts w:ascii="Times New Roman" w:hAnsi="Times New Roman" w:cs="Times New Roman"/>
          <w:b/>
          <w:bCs/>
          <w:color w:val="auto"/>
          <w:sz w:val="24"/>
          <w:szCs w:val="24"/>
        </w:rPr>
        <w:t>μ</w:t>
      </w:r>
      <w:r>
        <w:rPr>
          <w:rFonts w:ascii="Times New Roman" w:hAnsi="Times New Roman" w:cs="Times New Roman"/>
          <w:b/>
          <w:bCs/>
          <w:color w:val="auto"/>
          <w:sz w:val="24"/>
          <w:szCs w:val="24"/>
        </w:rPr>
        <w:t>ά</w:t>
      </w:r>
      <w:r w:rsidRPr="0028724D">
        <w:rPr>
          <w:rFonts w:ascii="Times New Roman" w:hAnsi="Times New Roman" w:cs="Times New Roman"/>
          <w:b/>
          <w:bCs/>
          <w:color w:val="auto"/>
          <w:sz w:val="24"/>
          <w:szCs w:val="24"/>
        </w:rPr>
        <w:t>τ</w:t>
      </w:r>
      <w:r>
        <w:rPr>
          <w:rFonts w:ascii="Times New Roman" w:hAnsi="Times New Roman" w:cs="Times New Roman"/>
          <w:b/>
          <w:bCs/>
          <w:color w:val="auto"/>
          <w:sz w:val="24"/>
          <w:szCs w:val="24"/>
        </w:rPr>
        <w:t>ων</w:t>
      </w:r>
      <w:r w:rsidRPr="0028724D">
        <w:rPr>
          <w:rFonts w:ascii="Times New Roman" w:hAnsi="Times New Roman" w:cs="Times New Roman"/>
          <w:b/>
          <w:bCs/>
          <w:color w:val="auto"/>
          <w:sz w:val="24"/>
          <w:szCs w:val="24"/>
        </w:rPr>
        <w:t xml:space="preserve"> και εγκαταστάσε</w:t>
      </w:r>
      <w:r>
        <w:rPr>
          <w:rFonts w:ascii="Times New Roman" w:hAnsi="Times New Roman" w:cs="Times New Roman"/>
          <w:b/>
          <w:bCs/>
          <w:color w:val="auto"/>
          <w:sz w:val="24"/>
          <w:szCs w:val="24"/>
        </w:rPr>
        <w:t>ων</w:t>
      </w:r>
      <w:bookmarkEnd w:id="6"/>
    </w:p>
    <w:p w14:paraId="18F39127" w14:textId="77777777" w:rsidR="006278C0" w:rsidRPr="006278C0" w:rsidRDefault="006278C0" w:rsidP="006278C0">
      <w:pPr>
        <w:spacing w:after="120" w:line="288" w:lineRule="auto"/>
        <w:jc w:val="both"/>
        <w:rPr>
          <w:rFonts w:ascii="Times New Roman" w:hAnsi="Times New Roman" w:cs="Times New Roman"/>
          <w:sz w:val="24"/>
          <w:szCs w:val="24"/>
        </w:rPr>
      </w:pPr>
      <w:r w:rsidRPr="006278C0">
        <w:rPr>
          <w:rFonts w:ascii="Times New Roman" w:hAnsi="Times New Roman" w:cs="Times New Roman"/>
          <w:sz w:val="24"/>
          <w:szCs w:val="24"/>
        </w:rPr>
        <w:t xml:space="preserve">Με την υπ. </w:t>
      </w:r>
      <w:proofErr w:type="spellStart"/>
      <w:r w:rsidRPr="006278C0">
        <w:rPr>
          <w:rFonts w:ascii="Times New Roman" w:hAnsi="Times New Roman" w:cs="Times New Roman"/>
          <w:sz w:val="24"/>
          <w:szCs w:val="24"/>
        </w:rPr>
        <w:t>αριθμ</w:t>
      </w:r>
      <w:proofErr w:type="spellEnd"/>
      <w:r w:rsidRPr="006278C0">
        <w:rPr>
          <w:rFonts w:ascii="Times New Roman" w:hAnsi="Times New Roman" w:cs="Times New Roman"/>
          <w:sz w:val="24"/>
          <w:szCs w:val="24"/>
        </w:rPr>
        <w:t xml:space="preserve">. ΥΠΕΝ/Δ ΑΟΚΑ/106871/3636 (ΦΕΚ 5415Β/19.10.2022) απόφαση του Υφυπουργού Περιβάλλοντος και Ενέργειας καθορίζονται τα κριτήρια για την κατ’ εξαίρεση αρτιότητα και </w:t>
      </w:r>
      <w:proofErr w:type="spellStart"/>
      <w:r w:rsidRPr="006278C0">
        <w:rPr>
          <w:rFonts w:ascii="Times New Roman" w:hAnsi="Times New Roman" w:cs="Times New Roman"/>
          <w:sz w:val="24"/>
          <w:szCs w:val="24"/>
        </w:rPr>
        <w:t>οικοδομησιμότητα</w:t>
      </w:r>
      <w:proofErr w:type="spellEnd"/>
      <w:r w:rsidRPr="006278C0">
        <w:rPr>
          <w:rFonts w:ascii="Times New Roman" w:hAnsi="Times New Roman" w:cs="Times New Roman"/>
          <w:sz w:val="24"/>
          <w:szCs w:val="24"/>
        </w:rPr>
        <w:t xml:space="preserve"> γηπέδων με εμβαδό μικρότερο των 8.000 τ.μ. και ελαχίστου 4.000 τ.μ. όπως προέβλεπε η παρ. 1 του άρθρου 34 του Ν.4759/2020.</w:t>
      </w:r>
    </w:p>
    <w:p w14:paraId="53143E56" w14:textId="77777777" w:rsidR="006278C0" w:rsidRPr="006278C0" w:rsidRDefault="006278C0" w:rsidP="006278C0">
      <w:pPr>
        <w:spacing w:after="120" w:line="288" w:lineRule="auto"/>
        <w:jc w:val="both"/>
        <w:rPr>
          <w:rFonts w:ascii="Times New Roman" w:hAnsi="Times New Roman" w:cs="Times New Roman"/>
          <w:sz w:val="24"/>
          <w:szCs w:val="24"/>
        </w:rPr>
      </w:pPr>
      <w:r w:rsidRPr="006278C0">
        <w:rPr>
          <w:rFonts w:ascii="Times New Roman" w:hAnsi="Times New Roman" w:cs="Times New Roman"/>
          <w:sz w:val="24"/>
          <w:szCs w:val="24"/>
        </w:rPr>
        <w:t>Πρόκειται για σειρά κριτηρίων, πλέον των οριζόμενων από την ισχύουσα πολεοδομική νομοθεσία, που έχουν ως βασικό στόχο την ελαχιστοποίηση της ενεργειακής, πολεοδομικής και περιβαλλοντικής επιβάρυνσης και τη δημιουργία περιβαλλοντικά βιώσιμων τουριστικών καταλυμάτων που σέβονται το περιβάλλον και συμβάλλουν στη διατήρηση της φύσης και της βιοποικιλότητας.</w:t>
      </w:r>
    </w:p>
    <w:p w14:paraId="4AA859C9" w14:textId="77777777" w:rsidR="006278C0" w:rsidRPr="006278C0" w:rsidRDefault="006278C0" w:rsidP="006278C0">
      <w:pPr>
        <w:spacing w:after="120" w:line="288" w:lineRule="auto"/>
        <w:jc w:val="both"/>
        <w:rPr>
          <w:rFonts w:ascii="Times New Roman" w:hAnsi="Times New Roman" w:cs="Times New Roman"/>
          <w:sz w:val="24"/>
          <w:szCs w:val="24"/>
        </w:rPr>
      </w:pPr>
      <w:r w:rsidRPr="006278C0">
        <w:rPr>
          <w:rFonts w:ascii="Times New Roman" w:hAnsi="Times New Roman" w:cs="Times New Roman"/>
          <w:sz w:val="24"/>
          <w:szCs w:val="24"/>
        </w:rPr>
        <w:t>Αναλυτικότερα:</w:t>
      </w:r>
    </w:p>
    <w:p w14:paraId="7A0349CB" w14:textId="77777777" w:rsidR="00041AB4" w:rsidRDefault="00041AB4" w:rsidP="00041AB4">
      <w:pPr>
        <w:pStyle w:val="af0"/>
        <w:rPr>
          <w:b/>
          <w:bCs w:val="0"/>
          <w:color w:val="0070C0"/>
        </w:rPr>
      </w:pPr>
    </w:p>
    <w:p w14:paraId="3789471E" w14:textId="7FAF0FEF" w:rsidR="006278C0" w:rsidRPr="00041AB4" w:rsidRDefault="006278C0" w:rsidP="00041AB4">
      <w:pPr>
        <w:pStyle w:val="af0"/>
        <w:rPr>
          <w:b/>
          <w:bCs w:val="0"/>
          <w:color w:val="0070C0"/>
        </w:rPr>
      </w:pPr>
      <w:r w:rsidRPr="00041AB4">
        <w:rPr>
          <w:b/>
          <w:bCs w:val="0"/>
          <w:color w:val="0070C0"/>
        </w:rPr>
        <w:t>Πεδίο Εφαρμογής (άρθρο 1)</w:t>
      </w:r>
    </w:p>
    <w:p w14:paraId="287A0E3C" w14:textId="77777777" w:rsidR="006278C0" w:rsidRDefault="006278C0" w:rsidP="006278C0">
      <w:pPr>
        <w:spacing w:after="120" w:line="288" w:lineRule="auto"/>
        <w:jc w:val="both"/>
        <w:rPr>
          <w:rFonts w:ascii="Times New Roman" w:hAnsi="Times New Roman" w:cs="Times New Roman"/>
          <w:sz w:val="24"/>
          <w:szCs w:val="24"/>
        </w:rPr>
      </w:pPr>
      <w:r w:rsidRPr="006278C0">
        <w:rPr>
          <w:rFonts w:ascii="Times New Roman" w:hAnsi="Times New Roman" w:cs="Times New Roman"/>
          <w:sz w:val="24"/>
          <w:szCs w:val="24"/>
        </w:rPr>
        <w:t xml:space="preserve">Γήπεδα της παρ. 1 του άρθρου 34 του ν. 4759/2020, εμβαδού κάτω των οκτώ χιλιάδων (8.000) τ.μ. και ελάχιστου εμβαδού τεσσάρων χιλιάδων (4.000) τ.μ. θεωρούνται κατ' εξαίρεση άρτια και οικοδομήσιμα για την ανέγερση ξενοδοχειακών καταλυμάτων, εφόσον, επιπλέον των οριζόμενων στην ισχύουσα πολεοδομική νομοθεσία, πληρούν </w:t>
      </w:r>
      <w:proofErr w:type="spellStart"/>
      <w:r w:rsidRPr="006278C0">
        <w:rPr>
          <w:rFonts w:ascii="Times New Roman" w:hAnsi="Times New Roman" w:cs="Times New Roman"/>
          <w:sz w:val="24"/>
          <w:szCs w:val="24"/>
        </w:rPr>
        <w:t>σωρευτικώς</w:t>
      </w:r>
      <w:proofErr w:type="spellEnd"/>
      <w:r w:rsidRPr="006278C0">
        <w:rPr>
          <w:rFonts w:ascii="Times New Roman" w:hAnsi="Times New Roman" w:cs="Times New Roman"/>
          <w:sz w:val="24"/>
          <w:szCs w:val="24"/>
        </w:rPr>
        <w:t xml:space="preserve"> τα ενεργειακά, πολεοδομικά και περιβαλλοντικά κριτήρια που καθορίζονται.</w:t>
      </w:r>
    </w:p>
    <w:p w14:paraId="1B04FB07" w14:textId="77777777" w:rsidR="00041AB4" w:rsidRPr="006278C0" w:rsidRDefault="00041AB4" w:rsidP="006278C0">
      <w:pPr>
        <w:spacing w:after="120" w:line="288" w:lineRule="auto"/>
        <w:jc w:val="both"/>
        <w:rPr>
          <w:rFonts w:ascii="Times New Roman" w:hAnsi="Times New Roman" w:cs="Times New Roman"/>
          <w:sz w:val="24"/>
          <w:szCs w:val="24"/>
        </w:rPr>
      </w:pPr>
    </w:p>
    <w:p w14:paraId="6D80E072" w14:textId="77777777" w:rsidR="006278C0" w:rsidRPr="00041AB4" w:rsidRDefault="006278C0" w:rsidP="00041AB4">
      <w:pPr>
        <w:pStyle w:val="af0"/>
        <w:rPr>
          <w:b/>
          <w:bCs w:val="0"/>
          <w:color w:val="0070C0"/>
        </w:rPr>
      </w:pPr>
      <w:r w:rsidRPr="00041AB4">
        <w:rPr>
          <w:b/>
          <w:bCs w:val="0"/>
          <w:color w:val="0070C0"/>
        </w:rPr>
        <w:t>Ενεργειακά Κριτήρια (άρθρο 2)</w:t>
      </w:r>
    </w:p>
    <w:p w14:paraId="042F6EA7" w14:textId="77777777" w:rsidR="006278C0" w:rsidRPr="006278C0" w:rsidRDefault="006278C0" w:rsidP="006278C0">
      <w:pPr>
        <w:spacing w:after="120" w:line="288" w:lineRule="auto"/>
        <w:jc w:val="both"/>
        <w:rPr>
          <w:rFonts w:ascii="Times New Roman" w:hAnsi="Times New Roman" w:cs="Times New Roman"/>
          <w:sz w:val="24"/>
          <w:szCs w:val="24"/>
        </w:rPr>
      </w:pPr>
      <w:r w:rsidRPr="006278C0">
        <w:rPr>
          <w:rFonts w:ascii="Times New Roman" w:hAnsi="Times New Roman" w:cs="Times New Roman"/>
          <w:sz w:val="24"/>
          <w:szCs w:val="24"/>
        </w:rPr>
        <w:t>Η εφαρμογή αρχών βιοκλιματικού σχεδιασμού με χρήση κατάλληλων υλικών, μονώσεων, σκιάσεων κ.α. σε συνδυασμό με τον προσανατολισμό του κτιρίου και τις κλιματικές συνθήκες της περιοχής του έργου, επιδρούν θετικά στη θερμική άνεση των χώρων και στη μείωση των αναγκών για θέρμανση, ψύξη ή και κατανάλωση μη ανανεώσιμων πηγών ενέργειας, συμβάλλοντας σημαντικά στη βελτίωση του μικροκλίματος.</w:t>
      </w:r>
    </w:p>
    <w:p w14:paraId="2AB4AC40" w14:textId="77777777" w:rsidR="006278C0" w:rsidRPr="006278C0" w:rsidRDefault="006278C0" w:rsidP="006278C0">
      <w:pPr>
        <w:spacing w:after="120" w:line="288" w:lineRule="auto"/>
        <w:jc w:val="both"/>
        <w:rPr>
          <w:rFonts w:ascii="Times New Roman" w:hAnsi="Times New Roman" w:cs="Times New Roman"/>
          <w:sz w:val="24"/>
          <w:szCs w:val="24"/>
        </w:rPr>
      </w:pPr>
      <w:r w:rsidRPr="006278C0">
        <w:rPr>
          <w:rFonts w:ascii="Times New Roman" w:hAnsi="Times New Roman" w:cs="Times New Roman"/>
          <w:sz w:val="24"/>
          <w:szCs w:val="24"/>
        </w:rPr>
        <w:t>Σημαντικό επίσης παράγοντα αποτελούν οι Ανανεώσιμες Πηγές Ενέργειας (ΑΠΕ) και οι γεωθερμικές αντλίες (όπου αυτό είναι δυνατόν), η χρήση των οποίων συμβάλει στην εξοικονόμηση ενέργειας για τη θέρμανση και ψύξη των εγκαταστάσεων.</w:t>
      </w:r>
    </w:p>
    <w:p w14:paraId="7040D3D6" w14:textId="77777777" w:rsidR="006278C0" w:rsidRPr="006278C0" w:rsidRDefault="006278C0" w:rsidP="006278C0">
      <w:pPr>
        <w:spacing w:after="120" w:line="288" w:lineRule="auto"/>
        <w:jc w:val="both"/>
        <w:rPr>
          <w:rFonts w:ascii="Times New Roman" w:hAnsi="Times New Roman" w:cs="Times New Roman"/>
          <w:sz w:val="24"/>
          <w:szCs w:val="24"/>
        </w:rPr>
      </w:pPr>
      <w:r w:rsidRPr="006278C0">
        <w:rPr>
          <w:rFonts w:ascii="Times New Roman" w:hAnsi="Times New Roman" w:cs="Times New Roman"/>
          <w:sz w:val="24"/>
          <w:szCs w:val="24"/>
        </w:rPr>
        <w:t>Περαιτέρω μείωση της ενεργειακής κατανάλωσης μπορεί να επιτευχθεί με χρήση παθητικών συστημάτων όπως ανοίγματα στη νότια και βορινή όψη των κτιρίων, περσίδων, στεγάστρων κ.α., καθώς και με τη  χρήση χαμηλής κατανάλωσης εξοπλισμού, θερμομονωτικών υλικών και κατάλληλων υαλοπινάκων.</w:t>
      </w:r>
    </w:p>
    <w:p w14:paraId="020BA89D" w14:textId="77777777" w:rsidR="006278C0" w:rsidRPr="006278C0" w:rsidRDefault="006278C0" w:rsidP="006278C0">
      <w:pPr>
        <w:spacing w:after="120" w:line="288" w:lineRule="auto"/>
        <w:jc w:val="both"/>
        <w:rPr>
          <w:rFonts w:ascii="Times New Roman" w:hAnsi="Times New Roman" w:cs="Times New Roman"/>
          <w:sz w:val="24"/>
          <w:szCs w:val="24"/>
        </w:rPr>
      </w:pPr>
      <w:r w:rsidRPr="006278C0">
        <w:rPr>
          <w:rFonts w:ascii="Times New Roman" w:hAnsi="Times New Roman" w:cs="Times New Roman"/>
          <w:sz w:val="24"/>
          <w:szCs w:val="24"/>
        </w:rPr>
        <w:t xml:space="preserve">Καταλήγοντας, οι αυξημένες απαιτήσεις ενεργειακής απόδοσης οφείλουν να τεκμηριώνονται από Μελέτη Ενεργειακής Απόδοσης (ΜΕΑ) η οποία θα πρέπει να οδηγεί </w:t>
      </w:r>
      <w:r w:rsidRPr="006278C0">
        <w:rPr>
          <w:rFonts w:ascii="Times New Roman" w:hAnsi="Times New Roman" w:cs="Times New Roman"/>
          <w:sz w:val="24"/>
          <w:szCs w:val="24"/>
        </w:rPr>
        <w:lastRenderedPageBreak/>
        <w:t xml:space="preserve">σε κτίριο που καταναλώνει το 0,16 του κτιρίου αναφοράς, κατά ΚΕΝΑΚ και να συνοδεύεται από τεκμηρίωση με διεθνώς αναγνωρισμένο λογισμικό ενεργειακού ισοζυγίου ώστε να αποφεύγεται το χάσμα επιδόσεων μεταξύ σχεδιασμού και υλοποίησης.  Ενδεικτικά αναφέρονται το </w:t>
      </w:r>
      <w:proofErr w:type="spellStart"/>
      <w:r w:rsidRPr="006278C0">
        <w:rPr>
          <w:rFonts w:ascii="Times New Roman" w:hAnsi="Times New Roman" w:cs="Times New Roman"/>
          <w:sz w:val="24"/>
          <w:szCs w:val="24"/>
        </w:rPr>
        <w:t>EnergyPlus</w:t>
      </w:r>
      <w:proofErr w:type="spellEnd"/>
      <w:r w:rsidRPr="006278C0">
        <w:rPr>
          <w:rFonts w:ascii="Times New Roman" w:hAnsi="Times New Roman" w:cs="Times New Roman"/>
          <w:sz w:val="24"/>
          <w:szCs w:val="24"/>
        </w:rPr>
        <w:t xml:space="preserve">, το PHPP, το TRNSYS, το </w:t>
      </w:r>
      <w:proofErr w:type="spellStart"/>
      <w:r w:rsidRPr="006278C0">
        <w:rPr>
          <w:rFonts w:ascii="Times New Roman" w:hAnsi="Times New Roman" w:cs="Times New Roman"/>
          <w:sz w:val="24"/>
          <w:szCs w:val="24"/>
        </w:rPr>
        <w:t>IESve</w:t>
      </w:r>
      <w:proofErr w:type="spellEnd"/>
      <w:r w:rsidRPr="006278C0">
        <w:rPr>
          <w:rFonts w:ascii="Times New Roman" w:hAnsi="Times New Roman" w:cs="Times New Roman"/>
          <w:sz w:val="24"/>
          <w:szCs w:val="24"/>
        </w:rPr>
        <w:t>.</w:t>
      </w:r>
    </w:p>
    <w:p w14:paraId="2667BA97" w14:textId="77777777" w:rsidR="00041AB4" w:rsidRDefault="00041AB4" w:rsidP="00041AB4">
      <w:pPr>
        <w:pStyle w:val="af0"/>
        <w:rPr>
          <w:b/>
          <w:bCs w:val="0"/>
          <w:color w:val="0070C0"/>
        </w:rPr>
      </w:pPr>
    </w:p>
    <w:p w14:paraId="145049DB" w14:textId="291F074C" w:rsidR="006278C0" w:rsidRPr="00041AB4" w:rsidRDefault="006278C0" w:rsidP="00041AB4">
      <w:pPr>
        <w:pStyle w:val="af0"/>
        <w:rPr>
          <w:b/>
          <w:bCs w:val="0"/>
          <w:color w:val="0070C0"/>
        </w:rPr>
      </w:pPr>
      <w:r w:rsidRPr="00041AB4">
        <w:rPr>
          <w:b/>
          <w:bCs w:val="0"/>
          <w:color w:val="0070C0"/>
        </w:rPr>
        <w:t>Πολεοδομικά Κριτήρια (άρθρο 3)</w:t>
      </w:r>
    </w:p>
    <w:p w14:paraId="672E2097" w14:textId="77777777" w:rsidR="006278C0" w:rsidRPr="006278C0" w:rsidRDefault="006278C0" w:rsidP="006278C0">
      <w:pPr>
        <w:spacing w:after="120" w:line="288" w:lineRule="auto"/>
        <w:jc w:val="both"/>
        <w:rPr>
          <w:rFonts w:ascii="Times New Roman" w:hAnsi="Times New Roman" w:cs="Times New Roman"/>
          <w:sz w:val="24"/>
          <w:szCs w:val="24"/>
        </w:rPr>
      </w:pPr>
      <w:r w:rsidRPr="006278C0">
        <w:rPr>
          <w:rFonts w:ascii="Times New Roman" w:hAnsi="Times New Roman" w:cs="Times New Roman"/>
          <w:sz w:val="24"/>
          <w:szCs w:val="24"/>
        </w:rPr>
        <w:t xml:space="preserve">Με την εφαρμογή συγκεκριμένων αρχών σχεδιασμού είναι δυνατόν να επιτευχθεί η ορθολογική ένταξη της τουριστικής μονάδας στο ευρύτερο φυσικό περιβάλλον εξασφαλίζοντας παράλληλα και την εύρυθμη λειτουργία της. </w:t>
      </w:r>
    </w:p>
    <w:p w14:paraId="2C570C54" w14:textId="77777777" w:rsidR="006278C0" w:rsidRPr="006278C0" w:rsidRDefault="006278C0" w:rsidP="006278C0">
      <w:pPr>
        <w:spacing w:after="120" w:line="288" w:lineRule="auto"/>
        <w:jc w:val="both"/>
        <w:rPr>
          <w:rFonts w:ascii="Times New Roman" w:hAnsi="Times New Roman" w:cs="Times New Roman"/>
          <w:sz w:val="24"/>
          <w:szCs w:val="24"/>
        </w:rPr>
      </w:pPr>
      <w:r w:rsidRPr="006278C0">
        <w:rPr>
          <w:rFonts w:ascii="Times New Roman" w:hAnsi="Times New Roman" w:cs="Times New Roman"/>
          <w:sz w:val="24"/>
          <w:szCs w:val="24"/>
        </w:rPr>
        <w:t>Οι αρχές αυτές αφορούν κυρίως:</w:t>
      </w:r>
    </w:p>
    <w:p w14:paraId="2280BF52" w14:textId="77777777" w:rsidR="006278C0" w:rsidRPr="006278C0" w:rsidRDefault="006278C0" w:rsidP="006278C0">
      <w:pPr>
        <w:spacing w:after="120" w:line="288" w:lineRule="auto"/>
        <w:ind w:left="426" w:hanging="426"/>
        <w:jc w:val="both"/>
        <w:rPr>
          <w:rFonts w:ascii="Times New Roman" w:hAnsi="Times New Roman" w:cs="Times New Roman"/>
          <w:sz w:val="24"/>
          <w:szCs w:val="24"/>
        </w:rPr>
      </w:pPr>
      <w:r w:rsidRPr="006278C0">
        <w:rPr>
          <w:rFonts w:ascii="Times New Roman" w:hAnsi="Times New Roman" w:cs="Times New Roman"/>
          <w:sz w:val="24"/>
          <w:szCs w:val="24"/>
        </w:rPr>
        <w:t xml:space="preserve">(α) στη λειτουργική διασύνδεση με υφιστάμενες υποδομές και δίκτυα, στον έλεγχο της πρόσβασης και στην εκτίμηση των επιπτώσεων που θα έχει η λειτουργία της μονάδας στο οδικό δίκτυο της περιοχής. </w:t>
      </w:r>
    </w:p>
    <w:p w14:paraId="4038673C" w14:textId="77777777" w:rsidR="006278C0" w:rsidRPr="006278C0" w:rsidRDefault="006278C0" w:rsidP="006278C0">
      <w:pPr>
        <w:spacing w:after="120" w:line="288" w:lineRule="auto"/>
        <w:ind w:left="426" w:hanging="426"/>
        <w:jc w:val="both"/>
        <w:rPr>
          <w:rFonts w:ascii="Times New Roman" w:hAnsi="Times New Roman" w:cs="Times New Roman"/>
          <w:sz w:val="24"/>
          <w:szCs w:val="24"/>
        </w:rPr>
      </w:pPr>
      <w:r w:rsidRPr="006278C0">
        <w:rPr>
          <w:rFonts w:ascii="Times New Roman" w:hAnsi="Times New Roman" w:cs="Times New Roman"/>
          <w:sz w:val="24"/>
          <w:szCs w:val="24"/>
        </w:rPr>
        <w:t>(β) στην ισορροπημένη κατανομή των κτιριακών όγκων και χώρων πρασίνου, με σκοπό την αξιοποίηση  φυσικών ρευμάτων δροσισμού – αερισμού, στον περιορισμό των μορφολογικών αλλοιώσεων του τοπίου και στην ασφαλή οργάνωση των απαιτούμενων χώρων στάθμευσης συμβατικών και ηλεκτρικών οχημάτων σύμφωνα με την ισχύουσα νομοθεσία.</w:t>
      </w:r>
    </w:p>
    <w:p w14:paraId="4EDD3659" w14:textId="77777777" w:rsidR="006278C0" w:rsidRPr="006278C0" w:rsidRDefault="006278C0" w:rsidP="006278C0">
      <w:pPr>
        <w:spacing w:after="120" w:line="288" w:lineRule="auto"/>
        <w:ind w:left="426" w:hanging="426"/>
        <w:jc w:val="both"/>
        <w:rPr>
          <w:rFonts w:ascii="Times New Roman" w:hAnsi="Times New Roman" w:cs="Times New Roman"/>
          <w:sz w:val="24"/>
          <w:szCs w:val="24"/>
        </w:rPr>
      </w:pPr>
      <w:r w:rsidRPr="006278C0">
        <w:rPr>
          <w:rFonts w:ascii="Times New Roman" w:hAnsi="Times New Roman" w:cs="Times New Roman"/>
          <w:sz w:val="24"/>
          <w:szCs w:val="24"/>
        </w:rPr>
        <w:t xml:space="preserve">(γ) στη διευκόλυνση </w:t>
      </w:r>
      <w:proofErr w:type="spellStart"/>
      <w:r w:rsidRPr="006278C0">
        <w:rPr>
          <w:rFonts w:ascii="Times New Roman" w:hAnsi="Times New Roman" w:cs="Times New Roman"/>
          <w:sz w:val="24"/>
          <w:szCs w:val="24"/>
        </w:rPr>
        <w:t>κατείσδυσης</w:t>
      </w:r>
      <w:proofErr w:type="spellEnd"/>
      <w:r w:rsidRPr="006278C0">
        <w:rPr>
          <w:rFonts w:ascii="Times New Roman" w:hAnsi="Times New Roman" w:cs="Times New Roman"/>
          <w:sz w:val="24"/>
          <w:szCs w:val="24"/>
        </w:rPr>
        <w:t xml:space="preserve"> του νερού στο έδαφος με περιορισμό της χρήσης σκληρών υλικών στον περιβάλλοντα χώρο, στη χρήση ανακυκλώσιμων </w:t>
      </w:r>
      <w:proofErr w:type="spellStart"/>
      <w:r w:rsidRPr="006278C0">
        <w:rPr>
          <w:rFonts w:ascii="Times New Roman" w:hAnsi="Times New Roman" w:cs="Times New Roman"/>
          <w:sz w:val="24"/>
          <w:szCs w:val="24"/>
        </w:rPr>
        <w:t>αντιολισθηρών</w:t>
      </w:r>
      <w:proofErr w:type="spellEnd"/>
      <w:r w:rsidRPr="006278C0">
        <w:rPr>
          <w:rFonts w:ascii="Times New Roman" w:hAnsi="Times New Roman" w:cs="Times New Roman"/>
          <w:sz w:val="24"/>
          <w:szCs w:val="24"/>
        </w:rPr>
        <w:t xml:space="preserve"> πλακών, κυβόλιθων εν </w:t>
      </w:r>
      <w:proofErr w:type="spellStart"/>
      <w:r w:rsidRPr="006278C0">
        <w:rPr>
          <w:rFonts w:ascii="Times New Roman" w:hAnsi="Times New Roman" w:cs="Times New Roman"/>
          <w:sz w:val="24"/>
          <w:szCs w:val="24"/>
        </w:rPr>
        <w:t>ξηρώ</w:t>
      </w:r>
      <w:proofErr w:type="spellEnd"/>
      <w:r w:rsidRPr="006278C0">
        <w:rPr>
          <w:rFonts w:ascii="Times New Roman" w:hAnsi="Times New Roman" w:cs="Times New Roman"/>
          <w:sz w:val="24"/>
          <w:szCs w:val="24"/>
        </w:rPr>
        <w:t xml:space="preserve"> με αρμούς για την απορρόφηση των νερών της βροχής, σκίαση χώρων στάθμευσης με δέντρα ή ξύλινες πέργκολες κ.α.</w:t>
      </w:r>
    </w:p>
    <w:p w14:paraId="177ACE19" w14:textId="77777777" w:rsidR="006278C0" w:rsidRPr="006278C0" w:rsidRDefault="006278C0" w:rsidP="006278C0">
      <w:pPr>
        <w:spacing w:after="120" w:line="288" w:lineRule="auto"/>
        <w:ind w:left="426" w:hanging="426"/>
        <w:jc w:val="both"/>
        <w:rPr>
          <w:rFonts w:ascii="Times New Roman" w:hAnsi="Times New Roman" w:cs="Times New Roman"/>
          <w:sz w:val="24"/>
          <w:szCs w:val="24"/>
        </w:rPr>
      </w:pPr>
      <w:r w:rsidRPr="006278C0">
        <w:rPr>
          <w:rFonts w:ascii="Times New Roman" w:hAnsi="Times New Roman" w:cs="Times New Roman"/>
          <w:sz w:val="24"/>
          <w:szCs w:val="24"/>
        </w:rPr>
        <w:t>(δ) στην υιοθέτηση αρχών αειφόρου/πράσινης δόμησης, προωθώντας τη χρήση υλικών με μικρό περιβαλλοντικό αποτύπωμα.</w:t>
      </w:r>
    </w:p>
    <w:p w14:paraId="5D415FC9" w14:textId="77777777" w:rsidR="006278C0" w:rsidRPr="006278C0" w:rsidRDefault="006278C0" w:rsidP="006278C0">
      <w:pPr>
        <w:spacing w:after="120" w:line="288" w:lineRule="auto"/>
        <w:ind w:left="426" w:hanging="426"/>
        <w:jc w:val="both"/>
        <w:rPr>
          <w:rFonts w:ascii="Times New Roman" w:hAnsi="Times New Roman" w:cs="Times New Roman"/>
          <w:sz w:val="24"/>
          <w:szCs w:val="24"/>
        </w:rPr>
      </w:pPr>
      <w:r w:rsidRPr="006278C0">
        <w:rPr>
          <w:rFonts w:ascii="Times New Roman" w:hAnsi="Times New Roman" w:cs="Times New Roman"/>
          <w:sz w:val="24"/>
          <w:szCs w:val="24"/>
        </w:rPr>
        <w:t>(ε) στη διασφάλιση της αντιπυρικής προστασίας των εγκαταστάσεων και του περιβάλλοντα χώρου</w:t>
      </w:r>
    </w:p>
    <w:p w14:paraId="30047F88" w14:textId="77777777" w:rsidR="006278C0" w:rsidRPr="006278C0" w:rsidRDefault="006278C0" w:rsidP="006278C0">
      <w:pPr>
        <w:spacing w:after="120" w:line="288" w:lineRule="auto"/>
        <w:ind w:left="426" w:hanging="426"/>
        <w:jc w:val="both"/>
        <w:rPr>
          <w:rFonts w:ascii="Times New Roman" w:hAnsi="Times New Roman" w:cs="Times New Roman"/>
          <w:sz w:val="24"/>
          <w:szCs w:val="24"/>
        </w:rPr>
      </w:pPr>
      <w:r w:rsidRPr="006278C0">
        <w:rPr>
          <w:rFonts w:ascii="Times New Roman" w:hAnsi="Times New Roman" w:cs="Times New Roman"/>
          <w:sz w:val="24"/>
          <w:szCs w:val="24"/>
        </w:rPr>
        <w:t>(</w:t>
      </w:r>
      <w:proofErr w:type="spellStart"/>
      <w:r w:rsidRPr="006278C0">
        <w:rPr>
          <w:rFonts w:ascii="Times New Roman" w:hAnsi="Times New Roman" w:cs="Times New Roman"/>
          <w:sz w:val="24"/>
          <w:szCs w:val="24"/>
        </w:rPr>
        <w:t>στ</w:t>
      </w:r>
      <w:proofErr w:type="spellEnd"/>
      <w:r w:rsidRPr="006278C0">
        <w:rPr>
          <w:rFonts w:ascii="Times New Roman" w:hAnsi="Times New Roman" w:cs="Times New Roman"/>
          <w:sz w:val="24"/>
          <w:szCs w:val="24"/>
        </w:rPr>
        <w:t>) στην προστασία και ανάδειξη στοιχείων πολιτιστικού, ιστορικού και αρχαιολογικού ενδιαφέροντος όπου υπάρχουν.</w:t>
      </w:r>
    </w:p>
    <w:p w14:paraId="38385065" w14:textId="77777777" w:rsidR="00041AB4" w:rsidRDefault="00041AB4" w:rsidP="00041AB4">
      <w:pPr>
        <w:pStyle w:val="af0"/>
        <w:rPr>
          <w:b/>
          <w:bCs w:val="0"/>
          <w:color w:val="0070C0"/>
        </w:rPr>
      </w:pPr>
    </w:p>
    <w:p w14:paraId="29697D41" w14:textId="746DED5F" w:rsidR="006278C0" w:rsidRPr="00041AB4" w:rsidRDefault="006278C0" w:rsidP="00041AB4">
      <w:pPr>
        <w:pStyle w:val="af0"/>
        <w:rPr>
          <w:b/>
          <w:bCs w:val="0"/>
          <w:color w:val="0070C0"/>
        </w:rPr>
      </w:pPr>
      <w:r w:rsidRPr="00041AB4">
        <w:rPr>
          <w:b/>
          <w:bCs w:val="0"/>
          <w:color w:val="0070C0"/>
        </w:rPr>
        <w:t>Περιβαλλοντικά Κριτήρια (άρθρο 4)</w:t>
      </w:r>
    </w:p>
    <w:p w14:paraId="4EF6E0D5" w14:textId="77777777" w:rsidR="006278C0" w:rsidRPr="006278C0" w:rsidRDefault="006278C0" w:rsidP="006278C0">
      <w:pPr>
        <w:spacing w:after="120" w:line="288" w:lineRule="auto"/>
        <w:jc w:val="both"/>
        <w:rPr>
          <w:rFonts w:ascii="Times New Roman" w:hAnsi="Times New Roman" w:cs="Times New Roman"/>
          <w:sz w:val="24"/>
          <w:szCs w:val="24"/>
        </w:rPr>
      </w:pPr>
      <w:r w:rsidRPr="006278C0">
        <w:rPr>
          <w:rFonts w:ascii="Times New Roman" w:hAnsi="Times New Roman" w:cs="Times New Roman"/>
          <w:sz w:val="24"/>
          <w:szCs w:val="24"/>
        </w:rPr>
        <w:t>Τα περιβαλλοντικά κριτήρια, αποσκοπούν στην προστασία και διατήρηση των ισορροπιών του ευρύτερου φυσικού περιβάλλοντος του ξενοδοχειακού καταλύματος και στη βελτίωση του μικροκλίματος της περιοχής. Επιτυγχάνονται κυρίως μέσω:</w:t>
      </w:r>
    </w:p>
    <w:p w14:paraId="701C2A63" w14:textId="77777777" w:rsidR="006278C0" w:rsidRPr="006278C0" w:rsidRDefault="006278C0" w:rsidP="006278C0">
      <w:pPr>
        <w:spacing w:after="120" w:line="288" w:lineRule="auto"/>
        <w:ind w:left="426" w:hanging="426"/>
        <w:jc w:val="both"/>
        <w:rPr>
          <w:rFonts w:ascii="Times New Roman" w:hAnsi="Times New Roman" w:cs="Times New Roman"/>
          <w:sz w:val="24"/>
          <w:szCs w:val="24"/>
        </w:rPr>
      </w:pPr>
      <w:r w:rsidRPr="006278C0">
        <w:rPr>
          <w:rFonts w:ascii="Times New Roman" w:hAnsi="Times New Roman" w:cs="Times New Roman"/>
          <w:sz w:val="24"/>
          <w:szCs w:val="24"/>
        </w:rPr>
        <w:t>(α) επιλογής φυτεύσεων τοπικής χλωρίδας, δένδρων και θάμνων που ενισχύουν τα οικοσυστήματα, προάγουν το δροσισμό, παρέχουν σκιά, ρυθμίζουν την υγρασία και προστατεύουν από θόρυβο και άνεμο.</w:t>
      </w:r>
    </w:p>
    <w:p w14:paraId="0392FE19" w14:textId="77777777" w:rsidR="006278C0" w:rsidRPr="006278C0" w:rsidRDefault="006278C0" w:rsidP="006278C0">
      <w:pPr>
        <w:spacing w:after="120" w:line="288" w:lineRule="auto"/>
        <w:ind w:left="426" w:hanging="426"/>
        <w:jc w:val="both"/>
        <w:rPr>
          <w:rFonts w:ascii="Times New Roman" w:hAnsi="Times New Roman" w:cs="Times New Roman"/>
          <w:sz w:val="24"/>
          <w:szCs w:val="24"/>
        </w:rPr>
      </w:pPr>
      <w:r w:rsidRPr="006278C0">
        <w:rPr>
          <w:rFonts w:ascii="Times New Roman" w:hAnsi="Times New Roman" w:cs="Times New Roman"/>
          <w:sz w:val="24"/>
          <w:szCs w:val="24"/>
        </w:rPr>
        <w:lastRenderedPageBreak/>
        <w:t>(β) τη φύτευση των δωμάτων του καταλύματος με χαμηλή βλάστηση και χρήση φυσικού χώματος για δροσισμό και βελτίωση του μικροκλίματος.</w:t>
      </w:r>
    </w:p>
    <w:p w14:paraId="392AA860" w14:textId="77777777" w:rsidR="006278C0" w:rsidRPr="006278C0" w:rsidRDefault="006278C0" w:rsidP="006278C0">
      <w:pPr>
        <w:spacing w:after="120" w:line="288" w:lineRule="auto"/>
        <w:ind w:left="426" w:hanging="426"/>
        <w:jc w:val="both"/>
        <w:rPr>
          <w:rFonts w:ascii="Times New Roman" w:hAnsi="Times New Roman" w:cs="Times New Roman"/>
          <w:sz w:val="24"/>
          <w:szCs w:val="24"/>
        </w:rPr>
      </w:pPr>
      <w:r w:rsidRPr="006278C0">
        <w:rPr>
          <w:rFonts w:ascii="Times New Roman" w:hAnsi="Times New Roman" w:cs="Times New Roman"/>
          <w:sz w:val="24"/>
          <w:szCs w:val="24"/>
        </w:rPr>
        <w:t>(γ) τη μείωση της κατανάλωσης νερού, μέσω δεύτερης χρήσης ύδατος και την κατασκευή υπόγειων δεξαμενών για την αξιοποίηση των όμβριων υδάτων καθώς και τη πρόβλεψη επιπλέον αναγκών χρήσης ύδατος σε περίπτωση κατασκευής κολυμβητικών δεξαμενών.</w:t>
      </w:r>
    </w:p>
    <w:p w14:paraId="348A338E" w14:textId="77777777" w:rsidR="006278C0" w:rsidRPr="006278C0" w:rsidRDefault="006278C0" w:rsidP="006278C0">
      <w:pPr>
        <w:spacing w:after="120" w:line="288" w:lineRule="auto"/>
        <w:ind w:left="426" w:hanging="426"/>
        <w:jc w:val="both"/>
        <w:rPr>
          <w:rFonts w:ascii="Times New Roman" w:hAnsi="Times New Roman" w:cs="Times New Roman"/>
          <w:sz w:val="24"/>
          <w:szCs w:val="24"/>
        </w:rPr>
      </w:pPr>
      <w:r w:rsidRPr="006278C0">
        <w:rPr>
          <w:rFonts w:ascii="Times New Roman" w:hAnsi="Times New Roman" w:cs="Times New Roman"/>
          <w:sz w:val="24"/>
          <w:szCs w:val="24"/>
        </w:rPr>
        <w:t>(δ) γενικά την ενσωμάτωση περιβαλλοντικής καινοτομίας για την αυτονομία και κυκλική χρήση υλικών, ενέργειας και νερού.</w:t>
      </w:r>
    </w:p>
    <w:p w14:paraId="2620CCBE" w14:textId="4E113D10" w:rsidR="006278C0" w:rsidRPr="006278C0" w:rsidRDefault="006278C0" w:rsidP="006278C0">
      <w:pPr>
        <w:autoSpaceDE w:val="0"/>
        <w:autoSpaceDN w:val="0"/>
        <w:adjustRightInd w:val="0"/>
        <w:spacing w:after="120" w:line="288" w:lineRule="auto"/>
        <w:jc w:val="both"/>
        <w:rPr>
          <w:rFonts w:ascii="Times New Roman" w:hAnsi="Times New Roman" w:cs="Times New Roman"/>
          <w:sz w:val="24"/>
          <w:szCs w:val="24"/>
        </w:rPr>
      </w:pPr>
      <w:r w:rsidRPr="006278C0">
        <w:rPr>
          <w:rFonts w:ascii="Times New Roman" w:hAnsi="Times New Roman" w:cs="Times New Roman"/>
          <w:sz w:val="24"/>
          <w:szCs w:val="24"/>
        </w:rPr>
        <w:t>Η τήρηση των ανωτέρω κριτηρίων, όπως προκύπτουν από τις κατά περίπτωση απαιτούμενες για το</w:t>
      </w:r>
      <w:r w:rsidR="00041AB4">
        <w:rPr>
          <w:rFonts w:ascii="Times New Roman" w:hAnsi="Times New Roman" w:cs="Times New Roman"/>
          <w:sz w:val="24"/>
          <w:szCs w:val="24"/>
        </w:rPr>
        <w:t xml:space="preserve"> </w:t>
      </w:r>
      <w:r w:rsidRPr="006278C0">
        <w:rPr>
          <w:rFonts w:ascii="Times New Roman" w:hAnsi="Times New Roman" w:cs="Times New Roman"/>
          <w:sz w:val="24"/>
          <w:szCs w:val="24"/>
        </w:rPr>
        <w:t>έργο μελέτες (</w:t>
      </w:r>
      <w:proofErr w:type="spellStart"/>
      <w:r w:rsidRPr="006278C0">
        <w:rPr>
          <w:rFonts w:ascii="Times New Roman" w:hAnsi="Times New Roman" w:cs="Times New Roman"/>
          <w:sz w:val="24"/>
          <w:szCs w:val="24"/>
        </w:rPr>
        <w:t>π.χ</w:t>
      </w:r>
      <w:proofErr w:type="spellEnd"/>
      <w:r w:rsidRPr="006278C0">
        <w:rPr>
          <w:rFonts w:ascii="Times New Roman" w:hAnsi="Times New Roman" w:cs="Times New Roman"/>
          <w:sz w:val="24"/>
          <w:szCs w:val="24"/>
        </w:rPr>
        <w:t xml:space="preserve"> Μ.Ε.Α, </w:t>
      </w:r>
      <w:proofErr w:type="spellStart"/>
      <w:r w:rsidRPr="006278C0">
        <w:rPr>
          <w:rFonts w:ascii="Times New Roman" w:hAnsi="Times New Roman" w:cs="Times New Roman"/>
          <w:sz w:val="24"/>
          <w:szCs w:val="24"/>
        </w:rPr>
        <w:t>φυτοτεχνική</w:t>
      </w:r>
      <w:proofErr w:type="spellEnd"/>
      <w:r w:rsidRPr="006278C0">
        <w:rPr>
          <w:rFonts w:ascii="Times New Roman" w:hAnsi="Times New Roman" w:cs="Times New Roman"/>
          <w:sz w:val="24"/>
          <w:szCs w:val="24"/>
        </w:rPr>
        <w:t>/</w:t>
      </w:r>
      <w:proofErr w:type="spellStart"/>
      <w:r w:rsidRPr="006278C0">
        <w:rPr>
          <w:rFonts w:ascii="Times New Roman" w:hAnsi="Times New Roman" w:cs="Times New Roman"/>
          <w:sz w:val="24"/>
          <w:szCs w:val="24"/>
        </w:rPr>
        <w:t>τοπιολογική</w:t>
      </w:r>
      <w:proofErr w:type="spellEnd"/>
      <w:r w:rsidRPr="006278C0">
        <w:rPr>
          <w:rFonts w:ascii="Times New Roman" w:hAnsi="Times New Roman" w:cs="Times New Roman"/>
          <w:sz w:val="24"/>
          <w:szCs w:val="24"/>
        </w:rPr>
        <w:t xml:space="preserve">, περιβαλλοντική, κυκλοφοριακή, αρχιτεκτονική, </w:t>
      </w:r>
      <w:proofErr w:type="spellStart"/>
      <w:r w:rsidRPr="006278C0">
        <w:rPr>
          <w:rFonts w:ascii="Times New Roman" w:hAnsi="Times New Roman" w:cs="Times New Roman"/>
          <w:sz w:val="24"/>
          <w:szCs w:val="24"/>
        </w:rPr>
        <w:t>κ.λπ</w:t>
      </w:r>
      <w:proofErr w:type="spellEnd"/>
      <w:r w:rsidRPr="006278C0">
        <w:rPr>
          <w:rFonts w:ascii="Times New Roman" w:hAnsi="Times New Roman" w:cs="Times New Roman"/>
          <w:sz w:val="24"/>
          <w:szCs w:val="24"/>
        </w:rPr>
        <w:t>) και εξειδικεύονται στην εκάστοτε περίπτωση τουριστικού καταλύματος, καταγράφεται, αναλύεται και τεκμηριώνεται σε σχετική τεχνική έκθεση η οποία υποβάλλεται προς εξέταση και χορήγηση σύμφωνης γνώμης στο οικείο Συμβούλιο Αρχιτεκτονικής.</w:t>
      </w:r>
    </w:p>
    <w:p w14:paraId="2F6F4F44" w14:textId="08094426" w:rsidR="00430EB6" w:rsidRDefault="00430EB6">
      <w:pPr>
        <w:rPr>
          <w:highlight w:val="yellow"/>
        </w:rPr>
      </w:pPr>
      <w:r w:rsidRPr="00003728">
        <w:rPr>
          <w:highlight w:val="yellow"/>
        </w:rPr>
        <w:br w:type="page"/>
      </w:r>
    </w:p>
    <w:p w14:paraId="1407AA09" w14:textId="77777777" w:rsidR="00041AB4" w:rsidRPr="00882320" w:rsidRDefault="00041AB4" w:rsidP="00041AB4">
      <w:pPr>
        <w:pStyle w:val="10"/>
        <w:numPr>
          <w:ilvl w:val="8"/>
          <w:numId w:val="9"/>
        </w:numPr>
        <w:shd w:val="clear" w:color="auto" w:fill="D9E2F3" w:themeFill="accent1" w:themeFillTint="33"/>
        <w:spacing w:before="240" w:after="120" w:line="288" w:lineRule="auto"/>
        <w:ind w:left="0" w:right="43" w:firstLine="0"/>
        <w:jc w:val="center"/>
      </w:pPr>
      <w:bookmarkStart w:id="7" w:name="_Toc97293135"/>
      <w:bookmarkStart w:id="8" w:name="_Toc145088579"/>
      <w:bookmarkStart w:id="9" w:name="_Toc145326332"/>
      <w:r w:rsidRPr="00882320">
        <w:lastRenderedPageBreak/>
        <w:t>ΘΕΜΑΤΑ ΕΠΙΧΕΙΡΗΜΑΤΙΚΩΝ ΠΑΡΚΩΝ (ΕΠ) / ΟΡΓΑΝΩΜΕΝΩΝ ΥΠΟΔΟΧΕΩΝ ΜΕΤΑΠΟΙΗΤΙΚΩΝ &amp; ΕΠΙΧΕΙΡΗΜΑΤΙΚΩΝ ΔΡΑΣΤΗΡΙΟΤΗΤΩΝ (ΟΥΜΕΔ)</w:t>
      </w:r>
      <w:bookmarkEnd w:id="7"/>
      <w:r w:rsidRPr="00882320">
        <w:t xml:space="preserve"> ΚΑΙ ΕΦΟΔΙΑΣΤΙΚΗΣ</w:t>
      </w:r>
      <w:bookmarkEnd w:id="8"/>
      <w:bookmarkEnd w:id="9"/>
    </w:p>
    <w:p w14:paraId="0512EA3F" w14:textId="77777777" w:rsidR="00041AB4" w:rsidRPr="00882320" w:rsidRDefault="00041AB4" w:rsidP="00041AB4">
      <w:pPr>
        <w:pStyle w:val="110"/>
        <w:shd w:val="clear" w:color="auto" w:fill="FFFFFF" w:themeFill="background1"/>
        <w:tabs>
          <w:tab w:val="left" w:pos="284"/>
        </w:tabs>
        <w:spacing w:after="0" w:line="240" w:lineRule="auto"/>
        <w:ind w:left="284" w:right="266"/>
        <w:contextualSpacing w:val="0"/>
        <w:jc w:val="both"/>
        <w:rPr>
          <w:rFonts w:ascii="Times New Roman" w:hAnsi="Times New Roman"/>
          <w:b/>
          <w:i/>
          <w:iCs/>
          <w:sz w:val="4"/>
          <w:szCs w:val="4"/>
        </w:rPr>
      </w:pPr>
    </w:p>
    <w:p w14:paraId="41B13799" w14:textId="77777777" w:rsidR="00041AB4" w:rsidRPr="00882320" w:rsidRDefault="00041AB4" w:rsidP="00041AB4">
      <w:pPr>
        <w:pStyle w:val="20"/>
        <w:shd w:val="clear" w:color="auto" w:fill="D9D9D9" w:themeFill="background1" w:themeFillShade="D9"/>
        <w:spacing w:before="120" w:after="120" w:line="360" w:lineRule="auto"/>
        <w:ind w:right="45"/>
        <w:jc w:val="center"/>
        <w:rPr>
          <w:rFonts w:ascii="Times New Roman" w:hAnsi="Times New Roman" w:cs="Times New Roman"/>
          <w:b/>
          <w:bCs/>
          <w:color w:val="auto"/>
          <w:sz w:val="24"/>
          <w:szCs w:val="24"/>
        </w:rPr>
      </w:pPr>
      <w:bookmarkStart w:id="10" w:name="_Toc119053815"/>
      <w:bookmarkStart w:id="11" w:name="_Toc145088580"/>
      <w:bookmarkStart w:id="12" w:name="_Toc145326333"/>
      <w:r w:rsidRPr="00882320">
        <w:rPr>
          <w:rFonts w:ascii="Times New Roman" w:hAnsi="Times New Roman" w:cs="Times New Roman"/>
          <w:b/>
          <w:bCs/>
          <w:color w:val="auto"/>
          <w:sz w:val="24"/>
          <w:szCs w:val="24"/>
        </w:rPr>
        <w:t xml:space="preserve">Α. </w:t>
      </w:r>
      <w:bookmarkEnd w:id="10"/>
      <w:r>
        <w:rPr>
          <w:rFonts w:ascii="Times New Roman" w:hAnsi="Times New Roman" w:cs="Times New Roman"/>
          <w:b/>
          <w:bCs/>
          <w:color w:val="auto"/>
          <w:sz w:val="24"/>
          <w:szCs w:val="24"/>
        </w:rPr>
        <w:t>Υπαγωγή ΒΙΠΕ του Ν.4458/1965 στις διατάξεις του Ν.4982/2022</w:t>
      </w:r>
      <w:bookmarkEnd w:id="11"/>
      <w:bookmarkEnd w:id="12"/>
    </w:p>
    <w:p w14:paraId="6BC3181D" w14:textId="77777777" w:rsidR="00041AB4" w:rsidRDefault="00041AB4" w:rsidP="00041AB4">
      <w:pPr>
        <w:autoSpaceDE w:val="0"/>
        <w:autoSpaceDN w:val="0"/>
        <w:adjustRightInd w:val="0"/>
        <w:spacing w:after="120" w:line="288" w:lineRule="auto"/>
        <w:jc w:val="both"/>
        <w:rPr>
          <w:rFonts w:ascii="Times New Roman" w:hAnsi="Times New Roman" w:cs="Times New Roman"/>
          <w:sz w:val="24"/>
          <w:szCs w:val="24"/>
        </w:rPr>
      </w:pPr>
      <w:r w:rsidRPr="00041AB4">
        <w:rPr>
          <w:rFonts w:ascii="Times New Roman" w:hAnsi="Times New Roman" w:cs="Times New Roman"/>
          <w:sz w:val="24"/>
          <w:szCs w:val="24"/>
        </w:rPr>
        <w:t xml:space="preserve">Με την έκδοση του Ν.4982/2022 θεσμοθετήθηκε το πλέον σύγχρονο πλαίσιο για την ανάπτυξη Επιχειρηματικών Πάρκων και παράλληλα θεσπίστηκε η υποχρέωση υπαγωγής όλων των Πάρκων των προηγούμενων πλαισίων (ΒΙΠΕ του Ν.4458/1965, ΒΕΠΕ του Ν.2545/1997 και Επιχειρηματικά Πάρκα του Ν.3982/2011) στις διατάξεις του νέου Νόμου εντός 5 ετών από τη δημοσίευσή του σε ΦΕΚ. </w:t>
      </w:r>
    </w:p>
    <w:p w14:paraId="46AEB1B6" w14:textId="7DCAE513" w:rsidR="00041AB4" w:rsidRPr="00041AB4" w:rsidRDefault="00041AB4" w:rsidP="00041AB4">
      <w:pPr>
        <w:autoSpaceDE w:val="0"/>
        <w:autoSpaceDN w:val="0"/>
        <w:adjustRightInd w:val="0"/>
        <w:spacing w:after="120" w:line="288" w:lineRule="auto"/>
        <w:jc w:val="both"/>
        <w:rPr>
          <w:rFonts w:ascii="Times New Roman" w:hAnsi="Times New Roman" w:cs="Times New Roman"/>
          <w:sz w:val="24"/>
          <w:szCs w:val="24"/>
        </w:rPr>
      </w:pPr>
      <w:r w:rsidRPr="00041AB4">
        <w:rPr>
          <w:rFonts w:ascii="Times New Roman" w:hAnsi="Times New Roman" w:cs="Times New Roman"/>
          <w:sz w:val="24"/>
          <w:szCs w:val="24"/>
        </w:rPr>
        <w:t>Ήδη από τον Μάιο του 2023 έχει εγκριθεί η υπαγωγή 11 Βιομηχανικών Περιοχών του Ν.4458/1965 στις διατάξεις του Ν.4982/2022. Ακολούθως εντός του Αυγούστου εγκρίθηκε η υπαγωγή επιπλέον 7 Βιομηχανικών Περιοχών/ ΒΕΠΕ στον Ν.4982/2022 ως κάτωθι:</w:t>
      </w:r>
    </w:p>
    <w:p w14:paraId="36E477BF" w14:textId="77777777" w:rsidR="00041AB4" w:rsidRDefault="00041AB4" w:rsidP="00041AB4">
      <w:pPr>
        <w:pStyle w:val="af0"/>
        <w:numPr>
          <w:ilvl w:val="0"/>
          <w:numId w:val="47"/>
        </w:numPr>
      </w:pPr>
      <w:r>
        <w:t xml:space="preserve">Η ΒΙΠΕ Ξάνθης υπήχθη και μετονομάστηκε σε </w:t>
      </w:r>
      <w:r w:rsidRPr="00367154">
        <w:t xml:space="preserve">Επιχειρηματικό Πάρκο </w:t>
      </w:r>
      <w:r>
        <w:t>Ξάνθης</w:t>
      </w:r>
      <w:r w:rsidRPr="00367154">
        <w:t xml:space="preserve"> </w:t>
      </w:r>
      <w:r>
        <w:t>(</w:t>
      </w:r>
      <w:r w:rsidRPr="00367154">
        <w:t>Τύπου Α1</w:t>
      </w:r>
      <w:r>
        <w:t xml:space="preserve">) με την υπ’ </w:t>
      </w:r>
      <w:proofErr w:type="spellStart"/>
      <w:r>
        <w:t>αριθμ</w:t>
      </w:r>
      <w:proofErr w:type="spellEnd"/>
      <w:r>
        <w:t xml:space="preserve">. 68211 ΥΑ (ΦΕΚ 4823/Β/2023) </w:t>
      </w:r>
    </w:p>
    <w:p w14:paraId="75D2B20D" w14:textId="77777777" w:rsidR="00041AB4" w:rsidRDefault="00041AB4" w:rsidP="00041AB4">
      <w:pPr>
        <w:pStyle w:val="af0"/>
        <w:numPr>
          <w:ilvl w:val="0"/>
          <w:numId w:val="47"/>
        </w:numPr>
      </w:pPr>
      <w:r>
        <w:t xml:space="preserve">Το παράρτημα της  ΒΙΠΕ Βόλου (Βόλος Β΄) υπήχθη και μετονομάστηκε σε </w:t>
      </w:r>
      <w:r w:rsidRPr="00367154">
        <w:t xml:space="preserve">Επιχειρηματικό Πάρκο </w:t>
      </w:r>
      <w:r>
        <w:t>Παραρτήματος Βόλου</w:t>
      </w:r>
      <w:r w:rsidRPr="00367154">
        <w:t xml:space="preserve"> </w:t>
      </w:r>
      <w:r>
        <w:t>(</w:t>
      </w:r>
      <w:r w:rsidRPr="00367154">
        <w:t>Τύπου Α1</w:t>
      </w:r>
      <w:r>
        <w:t xml:space="preserve">) με την υπ’ </w:t>
      </w:r>
      <w:proofErr w:type="spellStart"/>
      <w:r>
        <w:t>αριθμ</w:t>
      </w:r>
      <w:proofErr w:type="spellEnd"/>
      <w:r>
        <w:t>. 68219 ΥΑ (ΦΕΚ 4849/Β/2023)</w:t>
      </w:r>
    </w:p>
    <w:p w14:paraId="2F058A7E" w14:textId="77777777" w:rsidR="00041AB4" w:rsidRDefault="00041AB4" w:rsidP="00041AB4">
      <w:pPr>
        <w:pStyle w:val="af0"/>
        <w:numPr>
          <w:ilvl w:val="0"/>
          <w:numId w:val="47"/>
        </w:numPr>
      </w:pPr>
      <w:r>
        <w:t xml:space="preserve">Η ΒΙΠΕ Φλώρινας υπήχθη και μετονομάστηκε σε </w:t>
      </w:r>
      <w:r w:rsidRPr="00367154">
        <w:t xml:space="preserve">Επιχειρηματικό Πάρκο </w:t>
      </w:r>
      <w:r>
        <w:t>Φλώρινας</w:t>
      </w:r>
      <w:r w:rsidRPr="00367154">
        <w:t xml:space="preserve"> </w:t>
      </w:r>
      <w:r>
        <w:t>(</w:t>
      </w:r>
      <w:r w:rsidRPr="00367154">
        <w:t>Τύπου Α1</w:t>
      </w:r>
      <w:r>
        <w:t xml:space="preserve">) με την υπ’ </w:t>
      </w:r>
      <w:proofErr w:type="spellStart"/>
      <w:r>
        <w:t>αριθμ</w:t>
      </w:r>
      <w:proofErr w:type="spellEnd"/>
      <w:r>
        <w:t xml:space="preserve">. </w:t>
      </w:r>
      <w:r w:rsidRPr="001B2F94">
        <w:t>68221</w:t>
      </w:r>
      <w:r>
        <w:t xml:space="preserve"> ΥΑ (ΦΕΚ 4850/Β/2023)</w:t>
      </w:r>
    </w:p>
    <w:p w14:paraId="029EE1AA" w14:textId="77777777" w:rsidR="00041AB4" w:rsidRDefault="00041AB4" w:rsidP="00041AB4">
      <w:pPr>
        <w:pStyle w:val="af0"/>
        <w:numPr>
          <w:ilvl w:val="0"/>
          <w:numId w:val="47"/>
        </w:numPr>
      </w:pPr>
      <w:r>
        <w:t xml:space="preserve">Το ΒΙΟΠΑ </w:t>
      </w:r>
      <w:proofErr w:type="spellStart"/>
      <w:r>
        <w:t>Σαπών</w:t>
      </w:r>
      <w:proofErr w:type="spellEnd"/>
      <w:r>
        <w:t xml:space="preserve"> υπήχθη και μετονομάστηκε σε </w:t>
      </w:r>
      <w:r w:rsidRPr="00367154">
        <w:t xml:space="preserve">Επιχειρηματικό Πάρκο </w:t>
      </w:r>
      <w:proofErr w:type="spellStart"/>
      <w:r>
        <w:t>Σαπών</w:t>
      </w:r>
      <w:proofErr w:type="spellEnd"/>
      <w:r w:rsidRPr="00367154">
        <w:t xml:space="preserve"> </w:t>
      </w:r>
      <w:r>
        <w:t>(</w:t>
      </w:r>
      <w:r w:rsidRPr="00367154">
        <w:t>Τύπου Α</w:t>
      </w:r>
      <w:r>
        <w:t xml:space="preserve">2) με την υπ’ </w:t>
      </w:r>
      <w:proofErr w:type="spellStart"/>
      <w:r>
        <w:t>αριθμ</w:t>
      </w:r>
      <w:proofErr w:type="spellEnd"/>
      <w:r>
        <w:t>. 68575 ΥΑ (ΦΕΚ 4872/Β/2023)</w:t>
      </w:r>
    </w:p>
    <w:p w14:paraId="2443DABA" w14:textId="77777777" w:rsidR="00041AB4" w:rsidRDefault="00041AB4" w:rsidP="00041AB4">
      <w:pPr>
        <w:pStyle w:val="af0"/>
        <w:numPr>
          <w:ilvl w:val="0"/>
          <w:numId w:val="47"/>
        </w:numPr>
      </w:pPr>
      <w:r>
        <w:t xml:space="preserve">Η ΒΙΠΕ Σερρών υπήχθη και μετονομάστηκε σε </w:t>
      </w:r>
      <w:r w:rsidRPr="00367154">
        <w:t xml:space="preserve">Επιχειρηματικό Πάρκο </w:t>
      </w:r>
      <w:proofErr w:type="spellStart"/>
      <w:r>
        <w:t>Σερρων</w:t>
      </w:r>
      <w:proofErr w:type="spellEnd"/>
      <w:r w:rsidRPr="00367154">
        <w:t xml:space="preserve"> </w:t>
      </w:r>
      <w:r>
        <w:t>(</w:t>
      </w:r>
      <w:r w:rsidRPr="00367154">
        <w:t>Τύπου Α1</w:t>
      </w:r>
      <w:r>
        <w:t xml:space="preserve">) με την υπ’ </w:t>
      </w:r>
      <w:proofErr w:type="spellStart"/>
      <w:r>
        <w:t>αριθμ</w:t>
      </w:r>
      <w:proofErr w:type="spellEnd"/>
      <w:r>
        <w:t xml:space="preserve">. </w:t>
      </w:r>
      <w:r w:rsidRPr="00B717C8">
        <w:t>68213</w:t>
      </w:r>
      <w:r>
        <w:t xml:space="preserve"> ΥΑ (ΦΕΚ 4882/Β/2023)</w:t>
      </w:r>
    </w:p>
    <w:p w14:paraId="5A2ACC3E" w14:textId="77777777" w:rsidR="00041AB4" w:rsidRDefault="00041AB4" w:rsidP="00041AB4">
      <w:pPr>
        <w:pStyle w:val="af0"/>
        <w:numPr>
          <w:ilvl w:val="0"/>
          <w:numId w:val="47"/>
        </w:numPr>
      </w:pPr>
      <w:r>
        <w:t xml:space="preserve">Η ΒΙΠΕ Τρίπολης υπήχθη και μετονομάστηκε σε </w:t>
      </w:r>
      <w:r w:rsidRPr="00367154">
        <w:t xml:space="preserve">Επιχειρηματικό Πάρκο </w:t>
      </w:r>
      <w:r>
        <w:t>Τρίπολης</w:t>
      </w:r>
      <w:r w:rsidRPr="00367154">
        <w:t xml:space="preserve"> </w:t>
      </w:r>
      <w:r>
        <w:t>(</w:t>
      </w:r>
      <w:r w:rsidRPr="00367154">
        <w:t>Τύπου Α1</w:t>
      </w:r>
      <w:r>
        <w:t xml:space="preserve">) με την υπ’ </w:t>
      </w:r>
      <w:proofErr w:type="spellStart"/>
      <w:r>
        <w:t>αριθμ</w:t>
      </w:r>
      <w:proofErr w:type="spellEnd"/>
      <w:r>
        <w:t xml:space="preserve">. </w:t>
      </w:r>
      <w:r w:rsidRPr="00B717C8">
        <w:t>68215</w:t>
      </w:r>
      <w:r>
        <w:t xml:space="preserve"> ΥΑ (ΦΕΚ 5199/Β/2023)</w:t>
      </w:r>
    </w:p>
    <w:p w14:paraId="36EA399F" w14:textId="77777777" w:rsidR="00041AB4" w:rsidRDefault="00041AB4" w:rsidP="00041AB4">
      <w:pPr>
        <w:pStyle w:val="af0"/>
        <w:numPr>
          <w:ilvl w:val="0"/>
          <w:numId w:val="47"/>
        </w:numPr>
      </w:pPr>
      <w:r>
        <w:t xml:space="preserve">Η ΒΙΠΕ Ορεστιάδας υπήχθη και μετονομάστηκε σε </w:t>
      </w:r>
      <w:r w:rsidRPr="00367154">
        <w:t xml:space="preserve">Επιχειρηματικό Πάρκο </w:t>
      </w:r>
      <w:r>
        <w:t>Ορεστιάδας</w:t>
      </w:r>
      <w:r w:rsidRPr="00367154">
        <w:t xml:space="preserve"> </w:t>
      </w:r>
      <w:r>
        <w:t>(</w:t>
      </w:r>
      <w:r w:rsidRPr="00367154">
        <w:t>Τύπου Α</w:t>
      </w:r>
      <w:r>
        <w:t xml:space="preserve">1) με την υπ’ </w:t>
      </w:r>
      <w:proofErr w:type="spellStart"/>
      <w:r>
        <w:t>αριθμ</w:t>
      </w:r>
      <w:proofErr w:type="spellEnd"/>
      <w:r>
        <w:t xml:space="preserve">. </w:t>
      </w:r>
      <w:r w:rsidRPr="00B717C8">
        <w:t>68577</w:t>
      </w:r>
      <w:r>
        <w:t xml:space="preserve"> ΥΑ (ΦΕΚ 5185/Β/2023)</w:t>
      </w:r>
    </w:p>
    <w:p w14:paraId="52B14D18" w14:textId="77777777" w:rsidR="00041AB4" w:rsidRPr="00B717C8" w:rsidRDefault="00041AB4" w:rsidP="00041AB4">
      <w:pPr>
        <w:pStyle w:val="af0"/>
      </w:pPr>
      <w:r>
        <w:t>Για όλα τα ανωτέρω Επιχειρηματικά Πάρκα, ορίστηκε ως Εταιρεία Ανάπτυξης και Διαχείρισης (ΕΑΔΕΠ) η ΕΤΒΑ ΒΙ.ΠΕ. Α.Ε..</w:t>
      </w:r>
      <w:r>
        <w:rPr>
          <w:b/>
          <w:bCs w:val="0"/>
        </w:rPr>
        <w:br w:type="page"/>
      </w:r>
    </w:p>
    <w:p w14:paraId="76E784BB" w14:textId="77777777" w:rsidR="00041AB4" w:rsidRPr="00882320" w:rsidRDefault="00041AB4" w:rsidP="00041AB4">
      <w:pPr>
        <w:pStyle w:val="20"/>
        <w:shd w:val="clear" w:color="auto" w:fill="D9D9D9" w:themeFill="background1" w:themeFillShade="D9"/>
        <w:spacing w:before="120" w:after="120" w:line="360" w:lineRule="auto"/>
        <w:ind w:right="45"/>
        <w:jc w:val="center"/>
        <w:rPr>
          <w:rFonts w:ascii="Times New Roman" w:hAnsi="Times New Roman" w:cs="Times New Roman"/>
          <w:b/>
          <w:bCs/>
          <w:color w:val="auto"/>
          <w:sz w:val="24"/>
          <w:szCs w:val="24"/>
        </w:rPr>
      </w:pPr>
      <w:bookmarkStart w:id="13" w:name="_Toc145088581"/>
      <w:bookmarkStart w:id="14" w:name="_Toc145326334"/>
      <w:r>
        <w:rPr>
          <w:rFonts w:ascii="Times New Roman" w:hAnsi="Times New Roman" w:cs="Times New Roman"/>
          <w:b/>
          <w:bCs/>
          <w:color w:val="auto"/>
          <w:sz w:val="24"/>
          <w:szCs w:val="24"/>
        </w:rPr>
        <w:lastRenderedPageBreak/>
        <w:t>Β</w:t>
      </w:r>
      <w:r w:rsidRPr="00882320">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Ανάρτηση των νέων Κανονισμών Λειτουργίας των Πάρκων/ΒΙΠΕ της ΕΤΒΑ ΒΙΠΕ ΑΕ</w:t>
      </w:r>
      <w:bookmarkEnd w:id="13"/>
      <w:bookmarkEnd w:id="14"/>
    </w:p>
    <w:p w14:paraId="2ADBF32B" w14:textId="77777777" w:rsidR="00041AB4" w:rsidRPr="00935EAE" w:rsidRDefault="00041AB4" w:rsidP="00041AB4">
      <w:pPr>
        <w:pStyle w:val="af0"/>
      </w:pPr>
      <w:r>
        <w:t xml:space="preserve">Μετά την ολοκλήρωση της διαβούλευσης των νέων Κανονισμών Λειτουργίας 24 Επιχειρηματικών Πάρκων/ΒΙΠΕ που διαχειρίζεται η ΕΤΒΑ ΒΙΠΕ Α.Ε. στις  16/7/2023, διαμορφώθηκαν και αναρτήθηκαν στον </w:t>
      </w:r>
      <w:proofErr w:type="spellStart"/>
      <w:r>
        <w:t>ιστότοπο</w:t>
      </w:r>
      <w:proofErr w:type="spellEnd"/>
      <w:r>
        <w:t xml:space="preserve"> της ΕΤΒΑ ΒΙΠΕ ΑΕ τα τελικά κείμενα των νέων Κανονισμών με ενσωμάτωση όλων των προτεινόμενων τροποποιήσεων, όπως διαμορφώθηκαν μετά τη Διαβούλευση. Ακολούθησαν σχετικές ψηφοφορίες που διεξήχθησαν ηλεκτρονικά και η ανάρτηση των σχετικών πράξεων από την ως κάτωθι: </w:t>
      </w:r>
    </w:p>
    <w:p w14:paraId="530C8E90" w14:textId="77777777" w:rsidR="00041AB4" w:rsidRDefault="00041AB4" w:rsidP="00041AB4">
      <w:pPr>
        <w:pStyle w:val="af0"/>
        <w:numPr>
          <w:ilvl w:val="0"/>
          <w:numId w:val="48"/>
        </w:numPr>
      </w:pPr>
      <w:r>
        <w:t xml:space="preserve">Ε.Π. Αλεξανδρούπολης: Η ΕΤΒΑ ΒΙΠΕ Α.Ε. δήλωσε ότι αποδέχεται τις προτεινόμενες τροποποιήσεις του Αρχικού Κανονισμού Λειτουργίας, ενώ από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μηδέν τοις εκατό (0%) της συνολικής έκτασης του ΕΠ. Ως εκ τούτου, εγκρίθηκε ο Νέος Κανονισμός Λειτουργίας του ΕΠ και αναρτήθηκε και πλέον είναι σε ισχύ με την με ΑΠ </w:t>
      </w:r>
      <w:r w:rsidRPr="00CC2CA1">
        <w:t>59705/4.08.23</w:t>
      </w:r>
      <w:r>
        <w:t xml:space="preserve"> Πράξη της ΕΑΔΕΠ του Πάρκου.</w:t>
      </w:r>
    </w:p>
    <w:p w14:paraId="23C61144" w14:textId="77777777" w:rsidR="00041AB4" w:rsidRDefault="00041AB4" w:rsidP="00041AB4">
      <w:pPr>
        <w:pStyle w:val="af0"/>
        <w:numPr>
          <w:ilvl w:val="0"/>
          <w:numId w:val="48"/>
        </w:numPr>
      </w:pPr>
      <w:r>
        <w:t xml:space="preserve">ΒΙΟ.ΠΑ. Άμφισσας: Η ΕΤΒΑ ΒΙΠΕ Α.Ε. δήλωσε ότι αποδέχεται τις προτεινόμενες τροποποιήσεις του Αρχικού Κανονισμού Λειτουργίας, ενώ από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μηδέν τοις εκατό (0%) της συνολικής έκτασης του ΒΙΟΠΑ. Ως εκ τούτου, εγκρίθηκε ο Νέος Κανονισμός Λειτουργίας του ΒΙΟΠΑ και αναρτήθηκε και πλέον είναι σε ισχύ με την με ΑΠ </w:t>
      </w:r>
      <w:r w:rsidRPr="00CC2CA1">
        <w:t>59705</w:t>
      </w:r>
      <w:r>
        <w:t>-11</w:t>
      </w:r>
      <w:r w:rsidRPr="00CC2CA1">
        <w:t>/4.08.23</w:t>
      </w:r>
      <w:r>
        <w:t xml:space="preserve"> Πράξη του ΦΟΕ του Πάρκου.</w:t>
      </w:r>
    </w:p>
    <w:p w14:paraId="00912736" w14:textId="77777777" w:rsidR="00041AB4" w:rsidRDefault="00041AB4" w:rsidP="00041AB4">
      <w:pPr>
        <w:pStyle w:val="af0"/>
        <w:numPr>
          <w:ilvl w:val="0"/>
          <w:numId w:val="48"/>
        </w:numPr>
      </w:pPr>
      <w:r>
        <w:t xml:space="preserve">ΒΙΟ.ΠΑ. Βόλου: Η ΕΤΒΑ ΒΙΠΕ Α.Ε. δήλωσε ότι αποδέχεται τις προτεινόμενες τροποποιήσεις του Αρχικού Κανονισμού Λειτουργίας, ενώ από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μηδέν τοις εκατό (0%) της συνολικής έκτασης του ΒΙΟΠΑ. Ως εκ τούτου, εγκρίθηκε ο Νέος Κανονισμός Λειτουργίας του ΒΙΟΠΑ και αναρτήθηκε και πλέον είναι σε ισχύ με την με ΑΠ </w:t>
      </w:r>
      <w:r w:rsidRPr="00CC2CA1">
        <w:t>59705</w:t>
      </w:r>
      <w:r>
        <w:t>-12</w:t>
      </w:r>
      <w:r w:rsidRPr="00CC2CA1">
        <w:t>/4.08.23</w:t>
      </w:r>
      <w:r>
        <w:t xml:space="preserve"> Πράξη του ΦΟΕ του Πάρκου.</w:t>
      </w:r>
    </w:p>
    <w:p w14:paraId="5B99FD5C" w14:textId="77777777" w:rsidR="00041AB4" w:rsidRDefault="00041AB4" w:rsidP="00041AB4">
      <w:pPr>
        <w:pStyle w:val="af0"/>
        <w:numPr>
          <w:ilvl w:val="0"/>
          <w:numId w:val="48"/>
        </w:numPr>
      </w:pPr>
      <w:r>
        <w:t xml:space="preserve">ΕΠ Παραρτήματος Βόλου: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είκοσι οκτώ τοις εκατό και δέκα τέσσερα εκατοστά (28,14%)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59705-1</w:t>
      </w:r>
      <w:r>
        <w:t>4</w:t>
      </w:r>
      <w:r w:rsidRPr="00CC2CA1">
        <w:t xml:space="preserve">/4.08.23 Πράξη </w:t>
      </w:r>
      <w:r>
        <w:t>της ΕΑΔΕΠ</w:t>
      </w:r>
      <w:r w:rsidRPr="00CC2CA1">
        <w:t xml:space="preserve"> του Πάρκου.</w:t>
      </w:r>
    </w:p>
    <w:p w14:paraId="3D999BD9" w14:textId="77777777" w:rsidR="00041AB4" w:rsidRDefault="00041AB4" w:rsidP="00041AB4">
      <w:pPr>
        <w:pStyle w:val="af0"/>
        <w:numPr>
          <w:ilvl w:val="0"/>
          <w:numId w:val="48"/>
        </w:numPr>
      </w:pPr>
      <w:r>
        <w:lastRenderedPageBreak/>
        <w:t xml:space="preserve">Ε.Π. Δράμας: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μηδέν τοις εκατό (0%) </w:t>
      </w:r>
      <w:r w:rsidRPr="00CC2CA1">
        <w:t xml:space="preserve">της συνολικής έκτασης του ΕΠ. Ως εκ τούτου, εγκρίθηκε ο Νέος Κανονισμός Λειτουργίας του ΕΠ και αναρτήθηκε και πλέον είναι σε ισχύ με την με ΑΠ 59705-1/4.08.23 Πράξη </w:t>
      </w:r>
      <w:r>
        <w:t>της ΕΑΔΕΠ</w:t>
      </w:r>
      <w:r w:rsidRPr="00CC2CA1">
        <w:t xml:space="preserve"> του Πάρκου.</w:t>
      </w:r>
    </w:p>
    <w:p w14:paraId="48FCA893" w14:textId="77777777" w:rsidR="00041AB4" w:rsidRDefault="00041AB4" w:rsidP="00041AB4">
      <w:pPr>
        <w:pStyle w:val="af0"/>
        <w:numPr>
          <w:ilvl w:val="0"/>
          <w:numId w:val="48"/>
        </w:numPr>
      </w:pPr>
      <w:r>
        <w:t xml:space="preserve">ΒΙ.ΠΕ. Έδεσσας: Η ΕΤΒΑ ΒΙΠΕ Α.Ε. δήλωσε ότι αποδέχεται τις προτεινόμενες τροποποιήσεις του Αρχικού Κανονισμού Λειτουργίας, ενώ από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μηδέν τοις εκατό (0%) της συνολικής έκτασης της ΒΙΠΕ. Ως εκ τούτου, εγκρίθηκε ο Νέος Κανονισμός Λειτουργίας της ΒΙΠΕ και αναρτήθηκε και πλέον είναι σε ισχύ με την με ΑΠ </w:t>
      </w:r>
      <w:r w:rsidRPr="00CC2CA1">
        <w:t>59705</w:t>
      </w:r>
      <w:r>
        <w:t>-15</w:t>
      </w:r>
      <w:r w:rsidRPr="00CC2CA1">
        <w:t>/4.08.23</w:t>
      </w:r>
      <w:r>
        <w:t xml:space="preserve"> Πράξη του ΦΟΕ του Πάρκου.</w:t>
      </w:r>
    </w:p>
    <w:p w14:paraId="1FDBF9F4" w14:textId="77777777" w:rsidR="00041AB4" w:rsidRDefault="00041AB4" w:rsidP="00041AB4">
      <w:pPr>
        <w:pStyle w:val="af0"/>
        <w:numPr>
          <w:ilvl w:val="0"/>
          <w:numId w:val="48"/>
        </w:numPr>
      </w:pPr>
      <w:r>
        <w:t>Ε.Π. Ηρακλείου:</w:t>
      </w:r>
      <w:r w:rsidRPr="00B75D25">
        <w:t xml:space="preserve">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είκοσι ένα τοις εκατό και δέκα τέσσερα εκατοστά (21,14%)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w:t>
      </w:r>
      <w:r>
        <w:t>2</w:t>
      </w:r>
      <w:r w:rsidRPr="00CC2CA1">
        <w:t xml:space="preserve">/4.08.23 Πράξη </w:t>
      </w:r>
      <w:r>
        <w:t>της ΕΑΔΕΠ</w:t>
      </w:r>
      <w:r w:rsidRPr="00CC2CA1">
        <w:t xml:space="preserve"> του Πάρκου.</w:t>
      </w:r>
    </w:p>
    <w:p w14:paraId="5510C45B" w14:textId="77777777" w:rsidR="00041AB4" w:rsidRDefault="00041AB4" w:rsidP="00041AB4">
      <w:pPr>
        <w:pStyle w:val="af0"/>
        <w:numPr>
          <w:ilvl w:val="0"/>
          <w:numId w:val="48"/>
        </w:numPr>
      </w:pPr>
      <w:r>
        <w:t xml:space="preserve">Ε.Π. Θεσσαλονίκης: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έξι τοις εκατό και πενήντα εννέα εκατοστά (6,59%)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w:t>
      </w:r>
      <w:r>
        <w:t>3</w:t>
      </w:r>
      <w:r w:rsidRPr="00CC2CA1">
        <w:t xml:space="preserve">/4.08.23 Πράξη </w:t>
      </w:r>
      <w:r>
        <w:t>της ΕΑΔΕΠ</w:t>
      </w:r>
      <w:r w:rsidRPr="00CC2CA1">
        <w:t xml:space="preserve"> του Πάρκου.</w:t>
      </w:r>
    </w:p>
    <w:p w14:paraId="7F49B22B" w14:textId="77777777" w:rsidR="00041AB4" w:rsidRDefault="00041AB4" w:rsidP="00041AB4">
      <w:pPr>
        <w:pStyle w:val="af0"/>
        <w:numPr>
          <w:ilvl w:val="0"/>
          <w:numId w:val="48"/>
        </w:numPr>
      </w:pPr>
      <w:r>
        <w:t xml:space="preserve">ΒΙ.ΠΕ. Ιωαννίνων: Η ΕΤΒΑ ΒΙΠΕ Α.Ε. δήλωσε ότι αποδέχεται τις προτεινόμενες τροποποιήσεις του Αρχικού Κανονισμού Λειτουργίας, ενώ από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μηδέν τοις εκατό και είκοσι εννέα εκατοστά (0,29%) της συνολικής έκτασης της ΒΙΠΕ. Ως εκ τούτου, εγκρίθηκε ο Νέος Κανονισμός Λειτουργίας της ΒΙΠΕ και αναρτήθηκε και πλέον είναι σε ισχύ με την με ΑΠ </w:t>
      </w:r>
      <w:r w:rsidRPr="00CC2CA1">
        <w:t>59705</w:t>
      </w:r>
      <w:r>
        <w:t>-16</w:t>
      </w:r>
      <w:r w:rsidRPr="00CC2CA1">
        <w:t>/4.08.23</w:t>
      </w:r>
      <w:r>
        <w:t xml:space="preserve"> Πράξη του ΦΟΕ του Πάρκου.</w:t>
      </w:r>
    </w:p>
    <w:p w14:paraId="49451707" w14:textId="77777777" w:rsidR="00041AB4" w:rsidRDefault="00041AB4" w:rsidP="00041AB4">
      <w:pPr>
        <w:pStyle w:val="af0"/>
        <w:numPr>
          <w:ilvl w:val="0"/>
          <w:numId w:val="48"/>
        </w:numPr>
      </w:pPr>
      <w:r>
        <w:lastRenderedPageBreak/>
        <w:t xml:space="preserve">Ε.Π. Καβάλας: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δύο τοις εκατό και ογδόντα εννέα εκατοστά (2,89%)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w:t>
      </w:r>
      <w:r>
        <w:t>4</w:t>
      </w:r>
      <w:r w:rsidRPr="00CC2CA1">
        <w:t xml:space="preserve">/4.08.23 Πράξη </w:t>
      </w:r>
      <w:r>
        <w:t>της ΕΑΔΕΠ</w:t>
      </w:r>
      <w:r w:rsidRPr="00CC2CA1">
        <w:t xml:space="preserve"> του Πάρκου.</w:t>
      </w:r>
    </w:p>
    <w:p w14:paraId="7A9147AC" w14:textId="77777777" w:rsidR="00041AB4" w:rsidRDefault="00041AB4" w:rsidP="00041AB4">
      <w:pPr>
        <w:pStyle w:val="af0"/>
        <w:numPr>
          <w:ilvl w:val="0"/>
          <w:numId w:val="48"/>
        </w:numPr>
      </w:pPr>
      <w:r>
        <w:t>ΒΙ.ΠΕ. Καλαμάτας Α' (</w:t>
      </w:r>
      <w:proofErr w:type="spellStart"/>
      <w:r>
        <w:t>Σπερχόγεια</w:t>
      </w:r>
      <w:proofErr w:type="spellEnd"/>
      <w:r>
        <w:t xml:space="preserve">): Η ΕΤΒΑ ΒΙΠΕ Α.Ε. δήλωσε ότι αποδέχεται τις προτεινόμενες τροποποιήσεις του Αρχικού Κανονισμού Λειτουργίας, ενώ από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μηδέν τοις εκατό (0%) της συνολικής έκτασης της ΒΙΠΕ. Ως εκ τούτου, εγκρίθηκε ο Νέος Κανονισμός Λειτουργίας της ΒΙΠΕ και αναρτήθηκε και πλέον είναι σε ισχύ με την με ΑΠ </w:t>
      </w:r>
      <w:r w:rsidRPr="00CC2CA1">
        <w:t>59705</w:t>
      </w:r>
      <w:r>
        <w:t>-18</w:t>
      </w:r>
      <w:r w:rsidRPr="00CC2CA1">
        <w:t>/4.08.23</w:t>
      </w:r>
      <w:r>
        <w:t xml:space="preserve"> Πράξη του ΦΟΕ του Πάρκου.</w:t>
      </w:r>
    </w:p>
    <w:p w14:paraId="32779369" w14:textId="77777777" w:rsidR="00041AB4" w:rsidRDefault="00041AB4" w:rsidP="00041AB4">
      <w:pPr>
        <w:pStyle w:val="af0"/>
        <w:numPr>
          <w:ilvl w:val="0"/>
          <w:numId w:val="48"/>
        </w:numPr>
      </w:pPr>
      <w:r>
        <w:t>ΒΙ.ΠΕ. Καλαμάτας Β' (</w:t>
      </w:r>
      <w:proofErr w:type="spellStart"/>
      <w:r>
        <w:t>Μελιγαλάς</w:t>
      </w:r>
      <w:proofErr w:type="spellEnd"/>
      <w:r>
        <w:t xml:space="preserve">): Η ΕΤΒΑ ΒΙΠΕ Α.Ε. δήλωσε ότι αποδέχεται τις προτεινόμενες τροποποιήσεις του Αρχικού Κανονισμού Λειτουργίας, ενώ από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οκτώ τοις εκατό και σαράντα επτά εκατοστά (8,47%) της συνολικής έκτασης της ΒΙΠΕ. Ως εκ τούτου, εγκρίθηκε ο Νέος Κανονισμός Λειτουργίας της ΒΙΠΕ και αναρτήθηκε και πλέον είναι σε ισχύ με την με ΑΠ </w:t>
      </w:r>
      <w:r w:rsidRPr="00CC2CA1">
        <w:t>59705</w:t>
      </w:r>
      <w:r>
        <w:t>-17</w:t>
      </w:r>
      <w:r w:rsidRPr="00CC2CA1">
        <w:t>/4.08.23</w:t>
      </w:r>
      <w:r>
        <w:t xml:space="preserve"> Πράξη του ΦΟΕ του Πάρκου.</w:t>
      </w:r>
    </w:p>
    <w:p w14:paraId="305EFBC9" w14:textId="77777777" w:rsidR="00041AB4" w:rsidRDefault="00041AB4" w:rsidP="00041AB4">
      <w:pPr>
        <w:pStyle w:val="af0"/>
        <w:numPr>
          <w:ilvl w:val="0"/>
          <w:numId w:val="48"/>
        </w:numPr>
      </w:pPr>
      <w:r>
        <w:t xml:space="preserve">Ε.Π. Καρδίτσας: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μηδέν τοις εκατό (0%)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w:t>
      </w:r>
      <w:r>
        <w:t>5</w:t>
      </w:r>
      <w:r w:rsidRPr="00CC2CA1">
        <w:t xml:space="preserve">/4.08.23 Πράξη </w:t>
      </w:r>
      <w:r>
        <w:t>της ΕΑΔΕΠ</w:t>
      </w:r>
      <w:r w:rsidRPr="00CC2CA1">
        <w:t xml:space="preserve"> του Πάρκου.</w:t>
      </w:r>
    </w:p>
    <w:p w14:paraId="46EE234A" w14:textId="77777777" w:rsidR="00041AB4" w:rsidRDefault="00041AB4" w:rsidP="00041AB4">
      <w:pPr>
        <w:pStyle w:val="af0"/>
        <w:numPr>
          <w:ilvl w:val="0"/>
          <w:numId w:val="48"/>
        </w:numPr>
      </w:pPr>
      <w:r>
        <w:t xml:space="preserve">Ε.Π. Κομοτηνής: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επτά τοις εκατό και εξήντα οκτώ εκατοστά (7,68%)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w:t>
      </w:r>
      <w:r>
        <w:t>6</w:t>
      </w:r>
      <w:r w:rsidRPr="00CC2CA1">
        <w:t xml:space="preserve">/4.08.23 Πράξη </w:t>
      </w:r>
      <w:r>
        <w:t>της ΕΑΔΕΠ</w:t>
      </w:r>
      <w:r w:rsidRPr="00CC2CA1">
        <w:t xml:space="preserve"> του Πάρκου.</w:t>
      </w:r>
    </w:p>
    <w:p w14:paraId="38CC9C7C" w14:textId="77777777" w:rsidR="00041AB4" w:rsidRDefault="00041AB4" w:rsidP="00041AB4">
      <w:pPr>
        <w:pStyle w:val="af0"/>
        <w:numPr>
          <w:ilvl w:val="0"/>
          <w:numId w:val="48"/>
        </w:numPr>
      </w:pPr>
      <w:r>
        <w:lastRenderedPageBreak/>
        <w:t xml:space="preserve">Ε.Π. Λαμίας: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μηδέν τοις εκατό και πενήντα πέντε εκατοστά (0,55%)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w:t>
      </w:r>
      <w:r>
        <w:t>7</w:t>
      </w:r>
      <w:r w:rsidRPr="00CC2CA1">
        <w:t xml:space="preserve">/4.08.23 Πράξη </w:t>
      </w:r>
      <w:r>
        <w:t>της ΕΑΔΕΠ</w:t>
      </w:r>
      <w:r w:rsidRPr="00CC2CA1">
        <w:t xml:space="preserve"> του Πάρκου.</w:t>
      </w:r>
    </w:p>
    <w:p w14:paraId="1C9C0948" w14:textId="77777777" w:rsidR="00041AB4" w:rsidRDefault="00041AB4" w:rsidP="00041AB4">
      <w:pPr>
        <w:pStyle w:val="af0"/>
        <w:numPr>
          <w:ilvl w:val="0"/>
          <w:numId w:val="48"/>
        </w:numPr>
      </w:pPr>
      <w:r>
        <w:t xml:space="preserve">Ε.Π. Λάρισας: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μηδέν τοις εκατό (0%)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w:t>
      </w:r>
      <w:r>
        <w:t>8</w:t>
      </w:r>
      <w:r w:rsidRPr="00CC2CA1">
        <w:t xml:space="preserve">/4.08.23 Πράξη </w:t>
      </w:r>
      <w:r>
        <w:t>της ΕΑΔΕΠ</w:t>
      </w:r>
      <w:r w:rsidRPr="00CC2CA1">
        <w:t xml:space="preserve"> του Πάρκου.</w:t>
      </w:r>
    </w:p>
    <w:p w14:paraId="291CC688" w14:textId="77777777" w:rsidR="00041AB4" w:rsidRDefault="00041AB4" w:rsidP="00041AB4">
      <w:pPr>
        <w:pStyle w:val="af0"/>
        <w:numPr>
          <w:ilvl w:val="0"/>
          <w:numId w:val="48"/>
        </w:numPr>
      </w:pPr>
      <w:r>
        <w:t xml:space="preserve">Ε.Π. Ξάνθης: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μηδέν τοις εκατό (0%)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w:t>
      </w:r>
      <w:r>
        <w:t>19</w:t>
      </w:r>
      <w:r w:rsidRPr="00CC2CA1">
        <w:t xml:space="preserve">/4.08.23 Πράξη </w:t>
      </w:r>
      <w:r>
        <w:t>της ΕΑΔΕΠ</w:t>
      </w:r>
      <w:r w:rsidRPr="00CC2CA1">
        <w:t xml:space="preserve"> του Πάρκου.</w:t>
      </w:r>
    </w:p>
    <w:p w14:paraId="4FF90BCC" w14:textId="77777777" w:rsidR="00041AB4" w:rsidRDefault="00041AB4" w:rsidP="00041AB4">
      <w:pPr>
        <w:pStyle w:val="af0"/>
        <w:numPr>
          <w:ilvl w:val="0"/>
          <w:numId w:val="48"/>
        </w:numPr>
      </w:pPr>
      <w:r>
        <w:t xml:space="preserve">Ε.Π. Ορεστιάδας: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μηδέν τοις εκατό (0%)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w:t>
      </w:r>
      <w:r>
        <w:t>20</w:t>
      </w:r>
      <w:r w:rsidRPr="00CC2CA1">
        <w:t xml:space="preserve">/4.08.23 Πράξη </w:t>
      </w:r>
      <w:r>
        <w:t>της ΕΑΔΕΠ</w:t>
      </w:r>
      <w:r w:rsidRPr="00CC2CA1">
        <w:t xml:space="preserve"> του Πάρκου.</w:t>
      </w:r>
    </w:p>
    <w:p w14:paraId="20467A63" w14:textId="77777777" w:rsidR="00041AB4" w:rsidRDefault="00041AB4" w:rsidP="00041AB4">
      <w:pPr>
        <w:pStyle w:val="af0"/>
        <w:numPr>
          <w:ilvl w:val="0"/>
          <w:numId w:val="48"/>
        </w:numPr>
      </w:pPr>
      <w:r>
        <w:t xml:space="preserve">Ε.Π. Πατρών: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μηδέν τοις εκατό και είκοσι πέντε εκατοστά (0,25%)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w:t>
      </w:r>
      <w:r>
        <w:t>9</w:t>
      </w:r>
      <w:r w:rsidRPr="00CC2CA1">
        <w:t xml:space="preserve">/4.08.23 Πράξη </w:t>
      </w:r>
      <w:r>
        <w:t>της ΕΑΔΕΠ</w:t>
      </w:r>
      <w:r w:rsidRPr="00CC2CA1">
        <w:t xml:space="preserve"> του Πάρκου.</w:t>
      </w:r>
    </w:p>
    <w:p w14:paraId="4AD1E34F" w14:textId="77777777" w:rsidR="00041AB4" w:rsidRDefault="00041AB4" w:rsidP="00041AB4">
      <w:pPr>
        <w:pStyle w:val="af0"/>
        <w:numPr>
          <w:ilvl w:val="0"/>
          <w:numId w:val="48"/>
        </w:numPr>
      </w:pPr>
      <w:r>
        <w:t xml:space="preserve">Ε.Π. Πρέβεζας: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w:t>
      </w:r>
      <w:r w:rsidRPr="00CC2CA1">
        <w:lastRenderedPageBreak/>
        <w:t xml:space="preserve">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ένα τοις εκατό και τριάντα έξι εκατοστά (1,36%)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w:t>
      </w:r>
      <w:r>
        <w:t>10</w:t>
      </w:r>
      <w:r w:rsidRPr="00CC2CA1">
        <w:t xml:space="preserve">/4.08.23 Πράξη </w:t>
      </w:r>
      <w:r>
        <w:t>της ΕΑΔΕΠ</w:t>
      </w:r>
      <w:r w:rsidRPr="00CC2CA1">
        <w:t xml:space="preserve"> του Πάρκου.</w:t>
      </w:r>
    </w:p>
    <w:p w14:paraId="710A2224" w14:textId="77777777" w:rsidR="00041AB4" w:rsidRDefault="00041AB4" w:rsidP="00041AB4">
      <w:pPr>
        <w:pStyle w:val="af0"/>
        <w:numPr>
          <w:ilvl w:val="0"/>
          <w:numId w:val="48"/>
        </w:numPr>
      </w:pPr>
      <w:r>
        <w:t xml:space="preserve">Ε.Π. </w:t>
      </w:r>
      <w:proofErr w:type="spellStart"/>
      <w:r>
        <w:t>Σαπών</w:t>
      </w:r>
      <w:proofErr w:type="spellEnd"/>
      <w:r>
        <w:t xml:space="preserve">: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μηδέν τοις εκατό (0%)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w:t>
      </w:r>
      <w:r>
        <w:t>13</w:t>
      </w:r>
      <w:r w:rsidRPr="00CC2CA1">
        <w:t xml:space="preserve">/4.08.23 Πράξη </w:t>
      </w:r>
      <w:r>
        <w:t>της ΕΑΔΕΠ</w:t>
      </w:r>
      <w:r w:rsidRPr="00CC2CA1">
        <w:t xml:space="preserve"> του Πάρκου.</w:t>
      </w:r>
    </w:p>
    <w:p w14:paraId="2CCCB41E" w14:textId="77777777" w:rsidR="00041AB4" w:rsidRDefault="00041AB4" w:rsidP="00041AB4">
      <w:pPr>
        <w:pStyle w:val="af0"/>
        <w:numPr>
          <w:ilvl w:val="0"/>
          <w:numId w:val="48"/>
        </w:numPr>
      </w:pPr>
      <w:r>
        <w:t xml:space="preserve">Ε.Π. Σερρών: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εννέα τοις εκατό και σαράντα δύο εκατοστά (9,42%)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w:t>
      </w:r>
      <w:r>
        <w:t>21</w:t>
      </w:r>
      <w:r w:rsidRPr="00CC2CA1">
        <w:t xml:space="preserve">/4.08.23 Πράξη </w:t>
      </w:r>
      <w:r>
        <w:t>της ΕΑΔΕΠ</w:t>
      </w:r>
      <w:r w:rsidRPr="00CC2CA1">
        <w:t xml:space="preserve"> του Πάρκου.</w:t>
      </w:r>
    </w:p>
    <w:p w14:paraId="4426B23F" w14:textId="77777777" w:rsidR="00041AB4" w:rsidRDefault="00041AB4" w:rsidP="00041AB4">
      <w:pPr>
        <w:pStyle w:val="af0"/>
        <w:numPr>
          <w:ilvl w:val="0"/>
          <w:numId w:val="48"/>
        </w:numPr>
      </w:pPr>
      <w:r>
        <w:t xml:space="preserve">Ε.Π. Τρίπολης: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δέκα τοις εκατό και τριάντα ένα εκατοστά (10,31%)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w:t>
      </w:r>
      <w:r>
        <w:t>22</w:t>
      </w:r>
      <w:r w:rsidRPr="00CC2CA1">
        <w:t xml:space="preserve">/4.08.23 Πράξη </w:t>
      </w:r>
      <w:r>
        <w:t>της ΕΑΔΕΠ</w:t>
      </w:r>
      <w:r w:rsidRPr="00CC2CA1">
        <w:t xml:space="preserve"> του Πάρκου.</w:t>
      </w:r>
    </w:p>
    <w:p w14:paraId="1B910271" w14:textId="77777777" w:rsidR="00041AB4" w:rsidRDefault="00041AB4" w:rsidP="00041AB4">
      <w:pPr>
        <w:pStyle w:val="af0"/>
        <w:numPr>
          <w:ilvl w:val="0"/>
          <w:numId w:val="48"/>
        </w:numPr>
      </w:pPr>
      <w:r>
        <w:t>Ε.Π. Φλώρινας:</w:t>
      </w:r>
      <w:r w:rsidRPr="005B7AF8">
        <w:t xml:space="preserve"> </w:t>
      </w:r>
      <w:r w:rsidRPr="00CC2CA1">
        <w:t xml:space="preserve">Η ΕΤΒΑ ΒΙΠΕ Α.Ε. δήλωσε ότι αποδέχεται τις προτεινόμενες τροποποιήσεις του Αρχικού Κανονισμού Λειτουργίας, ενώ </w:t>
      </w:r>
      <w:r>
        <w:t>α</w:t>
      </w:r>
      <w:r w:rsidRPr="00CC2CA1">
        <w:t xml:space="preserve">πό τους Ενήμερους Ιδιοκτήτες Γης της Περιοχής, οι οποίοι συμμετείχαν στην ψηφοφορία, δήλωσαν ότι δεν αποδέχονται τις τροποποιήσεις ιδιοκτήτες γης που εκπροσωπούν ποσοστό </w:t>
      </w:r>
      <w:r>
        <w:t xml:space="preserve">έξι τοις εκατό και εβδομήντα τέσσερα εκατοστά (6,74%) </w:t>
      </w:r>
      <w:r w:rsidRPr="00CC2CA1">
        <w:t>της συνολικής έκτασης του ΕΠ. Ως εκ τούτου, εγκρίθηκε ο Νέος Κανονισμός Λειτουργίας του ΕΠ και αναρτήθηκε και πλέον είναι σε ισχύ με την με ΑΠ 59705-</w:t>
      </w:r>
      <w:r>
        <w:t>23</w:t>
      </w:r>
      <w:r w:rsidRPr="00CC2CA1">
        <w:t xml:space="preserve">/4.08.23 Πράξη </w:t>
      </w:r>
      <w:r>
        <w:t>της ΕΑΔΕΠ</w:t>
      </w:r>
      <w:r w:rsidRPr="00CC2CA1">
        <w:t xml:space="preserve"> του Πάρκου.</w:t>
      </w:r>
    </w:p>
    <w:p w14:paraId="25175D94" w14:textId="77777777" w:rsidR="00041AB4" w:rsidRPr="00A243ED" w:rsidRDefault="00041AB4" w:rsidP="00041AB4">
      <w:pPr>
        <w:pStyle w:val="af0"/>
        <w:rPr>
          <w:b/>
          <w:bCs w:val="0"/>
        </w:rPr>
      </w:pPr>
    </w:p>
    <w:p w14:paraId="0DD08840" w14:textId="77777777" w:rsidR="00041AB4" w:rsidRPr="00003728" w:rsidRDefault="00041AB4">
      <w:pPr>
        <w:rPr>
          <w:highlight w:val="yellow"/>
        </w:rPr>
      </w:pPr>
    </w:p>
    <w:p w14:paraId="7CC6B8E7" w14:textId="02DCC090" w:rsidR="0064038A" w:rsidRPr="00003728" w:rsidRDefault="00EF05CE" w:rsidP="0064038A">
      <w:pPr>
        <w:pStyle w:val="10"/>
        <w:numPr>
          <w:ilvl w:val="8"/>
          <w:numId w:val="9"/>
        </w:numPr>
        <w:shd w:val="clear" w:color="auto" w:fill="D9E2F3" w:themeFill="accent1" w:themeFillTint="33"/>
        <w:spacing w:before="240" w:after="120" w:line="288" w:lineRule="auto"/>
        <w:ind w:left="0" w:right="43" w:firstLine="0"/>
        <w:jc w:val="center"/>
      </w:pPr>
      <w:bookmarkStart w:id="15" w:name="_Toc145326335"/>
      <w:r w:rsidRPr="00003728">
        <w:lastRenderedPageBreak/>
        <w:t>ΘΕΜΑΤΑ ΥΓΕΙΑΣ &amp; ΑΣΦΑΛΕΙΑΣ ΣΤΗΝ ΕΡΓΑΣΙΑ</w:t>
      </w:r>
      <w:bookmarkEnd w:id="15"/>
    </w:p>
    <w:p w14:paraId="36E1C793" w14:textId="526640D6" w:rsidR="00003728" w:rsidRPr="00003728" w:rsidRDefault="006278C0" w:rsidP="00041AB4">
      <w:pPr>
        <w:pStyle w:val="20"/>
        <w:shd w:val="clear" w:color="auto" w:fill="D9D9D9" w:themeFill="background1" w:themeFillShade="D9"/>
        <w:spacing w:before="120" w:after="120" w:line="360" w:lineRule="auto"/>
        <w:ind w:right="45"/>
        <w:jc w:val="center"/>
        <w:rPr>
          <w:rFonts w:ascii="Times New Roman" w:hAnsi="Times New Roman" w:cs="Times New Roman"/>
          <w:b/>
          <w:bCs/>
          <w:color w:val="auto"/>
          <w:sz w:val="24"/>
          <w:szCs w:val="24"/>
        </w:rPr>
      </w:pPr>
      <w:bookmarkStart w:id="16" w:name="_Toc145326336"/>
      <w:r>
        <w:rPr>
          <w:rFonts w:ascii="Times New Roman" w:hAnsi="Times New Roman" w:cs="Times New Roman"/>
          <w:b/>
          <w:bCs/>
          <w:color w:val="auto"/>
          <w:sz w:val="24"/>
          <w:szCs w:val="24"/>
        </w:rPr>
        <w:t xml:space="preserve">Α. </w:t>
      </w:r>
      <w:r w:rsidR="00003728" w:rsidRPr="00003728">
        <w:rPr>
          <w:rFonts w:ascii="Times New Roman" w:hAnsi="Times New Roman" w:cs="Times New Roman"/>
          <w:b/>
          <w:bCs/>
          <w:color w:val="auto"/>
          <w:sz w:val="24"/>
          <w:szCs w:val="24"/>
        </w:rPr>
        <w:t xml:space="preserve">Η </w:t>
      </w:r>
      <w:r w:rsidR="00003728">
        <w:rPr>
          <w:rFonts w:ascii="Times New Roman" w:hAnsi="Times New Roman" w:cs="Times New Roman"/>
          <w:b/>
          <w:bCs/>
          <w:color w:val="auto"/>
          <w:sz w:val="24"/>
          <w:szCs w:val="24"/>
        </w:rPr>
        <w:t xml:space="preserve">Αξία των Ελέγχων Ασφαλείας </w:t>
      </w:r>
      <w:r w:rsidR="00003728" w:rsidRPr="00003728">
        <w:rPr>
          <w:rFonts w:ascii="Times New Roman" w:hAnsi="Times New Roman" w:cs="Times New Roman"/>
          <w:b/>
          <w:bCs/>
          <w:color w:val="auto"/>
          <w:sz w:val="24"/>
          <w:szCs w:val="24"/>
        </w:rPr>
        <w:t>(</w:t>
      </w:r>
      <w:proofErr w:type="spellStart"/>
      <w:r w:rsidR="00003728" w:rsidRPr="00003728">
        <w:rPr>
          <w:rFonts w:ascii="Times New Roman" w:hAnsi="Times New Roman" w:cs="Times New Roman"/>
          <w:b/>
          <w:bCs/>
          <w:color w:val="auto"/>
          <w:sz w:val="24"/>
          <w:szCs w:val="24"/>
        </w:rPr>
        <w:t>Safety</w:t>
      </w:r>
      <w:proofErr w:type="spellEnd"/>
      <w:r w:rsidR="00003728" w:rsidRPr="00003728">
        <w:rPr>
          <w:rFonts w:ascii="Times New Roman" w:hAnsi="Times New Roman" w:cs="Times New Roman"/>
          <w:b/>
          <w:bCs/>
          <w:color w:val="auto"/>
          <w:sz w:val="24"/>
          <w:szCs w:val="24"/>
        </w:rPr>
        <w:t xml:space="preserve"> </w:t>
      </w:r>
      <w:proofErr w:type="spellStart"/>
      <w:r w:rsidR="00003728" w:rsidRPr="00003728">
        <w:rPr>
          <w:rFonts w:ascii="Times New Roman" w:hAnsi="Times New Roman" w:cs="Times New Roman"/>
          <w:b/>
          <w:bCs/>
          <w:color w:val="auto"/>
          <w:sz w:val="24"/>
          <w:szCs w:val="24"/>
        </w:rPr>
        <w:t>Audits</w:t>
      </w:r>
      <w:proofErr w:type="spellEnd"/>
      <w:r w:rsidR="00003728" w:rsidRPr="00003728">
        <w:rPr>
          <w:rFonts w:ascii="Times New Roman" w:hAnsi="Times New Roman" w:cs="Times New Roman"/>
          <w:b/>
          <w:bCs/>
          <w:color w:val="auto"/>
          <w:sz w:val="24"/>
          <w:szCs w:val="24"/>
        </w:rPr>
        <w:t>)</w:t>
      </w:r>
      <w:bookmarkEnd w:id="16"/>
    </w:p>
    <w:p w14:paraId="0EB22D38" w14:textId="77777777" w:rsidR="00003728" w:rsidRPr="00003728" w:rsidRDefault="00003728" w:rsidP="00003728">
      <w:pPr>
        <w:pStyle w:val="af0"/>
      </w:pPr>
      <w:r w:rsidRPr="00003728">
        <w:t xml:space="preserve">Οι έλεγχοι ασφαλείας διαδραματίζουν ζωτικό ρόλο στη διασφάλιση της διαρκούς ασφάλειας και ευημερίας των εργαζομένων στο χώρο εργασίας. </w:t>
      </w:r>
    </w:p>
    <w:p w14:paraId="647D7683" w14:textId="77777777" w:rsidR="00003728" w:rsidRPr="00003728" w:rsidRDefault="00003728" w:rsidP="00003728">
      <w:pPr>
        <w:pStyle w:val="af0"/>
      </w:pPr>
      <w:r w:rsidRPr="00003728">
        <w:t>Με τον εντοπισμό πιθανών κινδύνων και την αξιολόγηση της αποτελεσματικότητας των συστημάτων διαχείρισης ασφάλειας, οι έλεγχοι ασφαλείας μπορούν να συμβάλουν στη μείωση του κινδύνου ατυχημάτων και τραυματισμών, καθώς και να διασφαλίσουν τη συμμόρφωση με τη σχετική νομοθεσία για την υγεία και την ασφάλεια.</w:t>
      </w:r>
    </w:p>
    <w:p w14:paraId="5C329B72" w14:textId="77777777" w:rsidR="00003728" w:rsidRPr="00003728" w:rsidRDefault="00003728" w:rsidP="00003728">
      <w:pPr>
        <w:pStyle w:val="af0"/>
        <w:rPr>
          <w:b/>
          <w:bCs w:val="0"/>
        </w:rPr>
      </w:pPr>
      <w:r w:rsidRPr="00003728">
        <w:rPr>
          <w:b/>
        </w:rPr>
        <w:t>Οι έλεγχοι ασφαλείας εξυπηρετούν πολλές σημαντικές λειτουργίες, όπως:</w:t>
      </w:r>
    </w:p>
    <w:p w14:paraId="1C824F1D" w14:textId="09E86F70" w:rsidR="00003728" w:rsidRPr="00003728" w:rsidRDefault="00003728" w:rsidP="00003728">
      <w:pPr>
        <w:pStyle w:val="af0"/>
        <w:numPr>
          <w:ilvl w:val="0"/>
          <w:numId w:val="46"/>
        </w:numPr>
        <w:ind w:left="714" w:hanging="357"/>
      </w:pPr>
      <w:r w:rsidRPr="00003728">
        <w:rPr>
          <w:u w:val="single"/>
        </w:rPr>
        <w:t>Προσδιορισμός κινδύνων</w:t>
      </w:r>
      <w:r w:rsidRPr="00003728">
        <w:t>: Οι έλεγχοι ασφαλείας βοηθούν στον εντοπισμό των κινδύνων στο χώρο εργασίας, επιτρέποντας την εφαρμογή κατάλληλων μέτρων ελέγχου.</w:t>
      </w:r>
    </w:p>
    <w:p w14:paraId="4E21D830" w14:textId="373EDAE0" w:rsidR="00003728" w:rsidRPr="00003728" w:rsidRDefault="00003728" w:rsidP="00003728">
      <w:pPr>
        <w:pStyle w:val="af0"/>
        <w:numPr>
          <w:ilvl w:val="0"/>
          <w:numId w:val="46"/>
        </w:numPr>
        <w:ind w:left="714" w:hanging="357"/>
      </w:pPr>
      <w:r w:rsidRPr="00003728">
        <w:rPr>
          <w:u w:val="single"/>
        </w:rPr>
        <w:t>Αξιολόγηση συστημάτων διαχείρισης ασφάλειας</w:t>
      </w:r>
      <w:r w:rsidRPr="00003728">
        <w:t>: Οι έλεγχοι αξιολογούν την αποτελεσματικότητα των συστημάτων, πολιτικών και διαδικασιών διαχείρισης ασφάλειας μιας εταιρείας για να διασφαλιστεί ότι αντιμετωπίζουν επαρκώς του</w:t>
      </w:r>
      <w:r w:rsidRPr="00003728">
        <w:rPr>
          <w:noProof/>
        </w:rPr>
        <w:t xml:space="preserve"> </w:t>
      </w:r>
      <w:r w:rsidRPr="00003728">
        <w:t xml:space="preserve"> ς πιθανούς κινδύνους.</w:t>
      </w:r>
    </w:p>
    <w:p w14:paraId="036F7C50" w14:textId="65FBC81F" w:rsidR="00003728" w:rsidRPr="00003728" w:rsidRDefault="00003728" w:rsidP="00003728">
      <w:pPr>
        <w:pStyle w:val="af0"/>
        <w:numPr>
          <w:ilvl w:val="0"/>
          <w:numId w:val="46"/>
        </w:numPr>
        <w:ind w:left="714" w:hanging="357"/>
      </w:pPr>
      <w:r w:rsidRPr="00003728">
        <w:rPr>
          <w:u w:val="single"/>
        </w:rPr>
        <w:t>Διασφάλιση συμμόρφωσης</w:t>
      </w:r>
      <w:r w:rsidRPr="00003728">
        <w:t>: Οι έλεγχοι ασφάλειας βοηθούν να διασφαλιστεί ότι οι οργανισμοί συμμορφώνονται με τους σχετικούς κανονισμούς και πρότυπα υγείας και ασφάλειας.</w:t>
      </w:r>
    </w:p>
    <w:p w14:paraId="6700B87D" w14:textId="649CAD3A" w:rsidR="00003728" w:rsidRPr="00003728" w:rsidRDefault="00003728" w:rsidP="00003728">
      <w:pPr>
        <w:pStyle w:val="af0"/>
        <w:numPr>
          <w:ilvl w:val="0"/>
          <w:numId w:val="46"/>
        </w:numPr>
        <w:ind w:left="714" w:hanging="357"/>
      </w:pPr>
      <w:r w:rsidRPr="00003728">
        <w:rPr>
          <w:u w:val="single"/>
        </w:rPr>
        <w:t>Συνεχής βελτίωση</w:t>
      </w:r>
      <w:r w:rsidRPr="00003728">
        <w:t>: Οι τακτικοί έλεγχοι ασφάλειας μπορούν να βοηθήσουν στον εντοπισμό περιοχών προς βελτίωση, οδηγώντας σε ασφαλέστερο εργασιακό περιβάλλον και μειωμένο κίνδυνο ατυχημάτων και τραυματισμών.</w:t>
      </w:r>
    </w:p>
    <w:p w14:paraId="5AB62121" w14:textId="77777777" w:rsidR="00003728" w:rsidRPr="00003728" w:rsidRDefault="00003728" w:rsidP="00003728">
      <w:pPr>
        <w:pStyle w:val="af0"/>
      </w:pPr>
      <w:r w:rsidRPr="00003728">
        <w:t xml:space="preserve">Για να πραγματοποιηθεί ένας αποτελεσματικός έλεγχος ασφάλειας, θα πρέπει να ακολουθηθούν τα παρακάτω βήματα: </w:t>
      </w:r>
    </w:p>
    <w:p w14:paraId="1821CF59" w14:textId="77777777" w:rsidR="00003728" w:rsidRPr="00003728" w:rsidRDefault="00003728" w:rsidP="00003728">
      <w:pPr>
        <w:pStyle w:val="af0"/>
        <w:numPr>
          <w:ilvl w:val="0"/>
          <w:numId w:val="46"/>
        </w:numPr>
        <w:ind w:left="714" w:hanging="357"/>
      </w:pPr>
      <w:r w:rsidRPr="00003728">
        <w:rPr>
          <w:u w:val="single"/>
        </w:rPr>
        <w:t>Αναπτύξτε ένα σχέδιο ελέγχου</w:t>
      </w:r>
      <w:r w:rsidRPr="00003728">
        <w:t>: Περιγράψτε το εύρος, τους στόχους και τα κριτήρια για τον έλεγχο. Καθορίστε ένα χρονοδιάγραμμα και προσδιορίστε ποιοι θα εμπλακούν στη διαδικασία.</w:t>
      </w:r>
    </w:p>
    <w:p w14:paraId="641C536F" w14:textId="77777777" w:rsidR="00003728" w:rsidRPr="00003728" w:rsidRDefault="00003728" w:rsidP="00003728">
      <w:pPr>
        <w:pStyle w:val="af0"/>
        <w:numPr>
          <w:ilvl w:val="0"/>
          <w:numId w:val="46"/>
        </w:numPr>
        <w:ind w:left="714" w:hanging="357"/>
      </w:pPr>
      <w:r w:rsidRPr="00003728">
        <w:rPr>
          <w:u w:val="single"/>
        </w:rPr>
        <w:t>Συγκέντρωση ομάδας ελέγχου</w:t>
      </w:r>
      <w:r w:rsidRPr="00003728">
        <w:t>: Συμπεριλάβετε άτομα με γνώση του οργανισμού, των λειτουργιών του και των σχετικών κανονισμών υγείας και ασφάλειας. Αυτό μπορεί να περιλαμβάνει εσωτερικό προσωπικό ή εξωτερικούς συμβούλους.</w:t>
      </w:r>
    </w:p>
    <w:p w14:paraId="2DB9BBD1" w14:textId="77777777" w:rsidR="00003728" w:rsidRPr="00003728" w:rsidRDefault="00003728" w:rsidP="00003728">
      <w:pPr>
        <w:pStyle w:val="af0"/>
        <w:numPr>
          <w:ilvl w:val="0"/>
          <w:numId w:val="46"/>
        </w:numPr>
        <w:ind w:left="714" w:hanging="357"/>
      </w:pPr>
      <w:r w:rsidRPr="00003728">
        <w:rPr>
          <w:u w:val="single"/>
        </w:rPr>
        <w:t>Διεξαγωγή επιτόπου επιθεώρησης</w:t>
      </w:r>
      <w:r w:rsidRPr="00003728">
        <w:t>: Περπατήστε στο χώρο εργασίας για να εντοπίσετε τους κινδύνους, να αξιολογήσετε τα μέτρα ελέγχου και να παρατηρήσετε τις συμπεριφορές των εργαζομένων.</w:t>
      </w:r>
    </w:p>
    <w:p w14:paraId="49670962" w14:textId="77777777" w:rsidR="00003728" w:rsidRPr="00003728" w:rsidRDefault="00003728" w:rsidP="00003728">
      <w:pPr>
        <w:pStyle w:val="af0"/>
        <w:numPr>
          <w:ilvl w:val="0"/>
          <w:numId w:val="46"/>
        </w:numPr>
        <w:ind w:left="714" w:hanging="357"/>
      </w:pPr>
      <w:r w:rsidRPr="00003728">
        <w:rPr>
          <w:u w:val="single"/>
        </w:rPr>
        <w:t>Εξετάστε την τεκμηρίωση</w:t>
      </w:r>
      <w:r w:rsidRPr="00003728">
        <w:t>: Εξετάστε τις πολιτικές, τις διαδικασίες και τα αρχεία ασφαλείας, όπως αναφορές συμβάντων και αρχεία εκπαίδευσης, για να αξιολογήσετε τη συμμόρφωση και να εντοπίσετε τομείς προς βελτίωση.</w:t>
      </w:r>
    </w:p>
    <w:p w14:paraId="10DFC0E2" w14:textId="77777777" w:rsidR="00003728" w:rsidRPr="00003728" w:rsidRDefault="00003728" w:rsidP="00003728">
      <w:pPr>
        <w:pStyle w:val="af0"/>
        <w:numPr>
          <w:ilvl w:val="0"/>
          <w:numId w:val="46"/>
        </w:numPr>
        <w:ind w:left="714" w:hanging="357"/>
      </w:pPr>
      <w:r w:rsidRPr="00003728">
        <w:rPr>
          <w:u w:val="single"/>
        </w:rPr>
        <w:lastRenderedPageBreak/>
        <w:t>Διεξαγωγή συνεντεύξεων</w:t>
      </w:r>
      <w:r w:rsidRPr="00003728">
        <w:t>: Μιλήστε με υπαλλήλους σε όλα τα επίπεδα του οργανισμού για να συγκεντρώσετε γνώσεις σχετικά με την αποτελεσματικότητα των συστημάτων διαχείρισης της ασφάλειας και να εντοπίσετε πιθανούς κινδύνους.</w:t>
      </w:r>
    </w:p>
    <w:p w14:paraId="72F74E21" w14:textId="77777777" w:rsidR="00003728" w:rsidRPr="00003728" w:rsidRDefault="00003728" w:rsidP="00003728">
      <w:pPr>
        <w:pStyle w:val="af0"/>
        <w:numPr>
          <w:ilvl w:val="0"/>
          <w:numId w:val="46"/>
        </w:numPr>
        <w:ind w:left="714" w:hanging="357"/>
      </w:pPr>
      <w:r w:rsidRPr="00003728">
        <w:rPr>
          <w:u w:val="single"/>
        </w:rPr>
        <w:t>Ανάλυση ευρημάτων</w:t>
      </w:r>
      <w:r w:rsidRPr="00003728">
        <w:t>: Ελέγξτε τις πληροφορίες που συγκεντρώθηκαν κατά τη διάρκεια του ελέγχου για να εντοπίσετε τάσεις, τομείς ανησυχίας και ευκαιρίες για βελτίωση.</w:t>
      </w:r>
    </w:p>
    <w:p w14:paraId="147D3264" w14:textId="77777777" w:rsidR="00003728" w:rsidRPr="00003728" w:rsidRDefault="00003728" w:rsidP="00003728">
      <w:pPr>
        <w:pStyle w:val="af0"/>
        <w:numPr>
          <w:ilvl w:val="0"/>
          <w:numId w:val="46"/>
        </w:numPr>
        <w:ind w:left="714" w:hanging="357"/>
      </w:pPr>
      <w:r w:rsidRPr="00003728">
        <w:rPr>
          <w:u w:val="single"/>
        </w:rPr>
        <w:t>Ετοιμάστε μια αναφορά</w:t>
      </w:r>
      <w:r w:rsidRPr="00003728">
        <w:t>: Συνοψίστε τα ευρήματα του ελέγχου, συμπεριλαμβανομένων των εντοπισμένων κινδύνων, των μη συμμορφώσεων και των συστάσεων για βελτίωση.</w:t>
      </w:r>
    </w:p>
    <w:p w14:paraId="2202D71C" w14:textId="77777777" w:rsidR="00003728" w:rsidRPr="00003728" w:rsidRDefault="00003728" w:rsidP="00003728">
      <w:pPr>
        <w:pStyle w:val="af0"/>
        <w:numPr>
          <w:ilvl w:val="0"/>
          <w:numId w:val="46"/>
        </w:numPr>
        <w:ind w:left="714" w:hanging="357"/>
      </w:pPr>
      <w:r w:rsidRPr="00003728">
        <w:rPr>
          <w:u w:val="single"/>
        </w:rPr>
        <w:t>Παρακολούθηση</w:t>
      </w:r>
      <w:r w:rsidRPr="00003728">
        <w:t>: Εφαρμόστε τις προτεινόμενες ενέργειες και παρακολουθήστε την πρόοδο για να διασφαλίσετε την αποτελεσματικότητα των βελτιώσεων.</w:t>
      </w:r>
    </w:p>
    <w:p w14:paraId="29A9C18E" w14:textId="77777777" w:rsidR="00003728" w:rsidRPr="00003728" w:rsidRDefault="00003728" w:rsidP="00003728">
      <w:pPr>
        <w:pStyle w:val="af0"/>
      </w:pPr>
      <w:r w:rsidRPr="00003728">
        <w:t>Οι έλεγχοι ασφάλειας είναι ένα ανεκτίμητο εργαλείο για τη διατήρηση ενός ασφαλούς και υγιούς εργασιακού περιβάλλοντος. Με τον εντοπισμό των κινδύνων, την αξιολόγηση των συστημάτων διαχείρισης ασφάλειας και τη διασφάλιση της συμμόρφωσης με τους σχετικούς κανονισμούς, οι έλεγχοι ασφαλείας μπορούν να βοηθήσουν στην προστασία των εργαζομένων, στη μείωση του κινδύνου ατυχημάτων και τραυματισμών και στη βελτίωση της συνολικής ασφάλειας στο χώρο εργασίας.</w:t>
      </w:r>
    </w:p>
    <w:p w14:paraId="66A2F38F" w14:textId="77777777" w:rsidR="00003728" w:rsidRDefault="00003728" w:rsidP="003D3219">
      <w:pPr>
        <w:pStyle w:val="af0"/>
        <w:rPr>
          <w:b/>
          <w:bCs w:val="0"/>
        </w:rPr>
      </w:pPr>
    </w:p>
    <w:p w14:paraId="4306ED6D" w14:textId="77777777" w:rsidR="00003728" w:rsidRDefault="00003728" w:rsidP="003D3219">
      <w:pPr>
        <w:pStyle w:val="af0"/>
        <w:rPr>
          <w:b/>
          <w:bCs w:val="0"/>
        </w:rPr>
      </w:pPr>
    </w:p>
    <w:p w14:paraId="104FB279" w14:textId="77777777" w:rsidR="00003728" w:rsidRDefault="00003728" w:rsidP="003D3219">
      <w:pPr>
        <w:pStyle w:val="af0"/>
        <w:rPr>
          <w:b/>
          <w:bCs w:val="0"/>
        </w:rPr>
      </w:pPr>
    </w:p>
    <w:p w14:paraId="7A7A5EA5" w14:textId="77777777" w:rsidR="006278C0" w:rsidRDefault="006278C0" w:rsidP="003D3219">
      <w:pPr>
        <w:pStyle w:val="af0"/>
        <w:rPr>
          <w:b/>
          <w:bCs w:val="0"/>
        </w:rPr>
      </w:pPr>
    </w:p>
    <w:p w14:paraId="277977A3" w14:textId="77777777" w:rsidR="006278C0" w:rsidRDefault="006278C0" w:rsidP="003D3219">
      <w:pPr>
        <w:pStyle w:val="af0"/>
        <w:rPr>
          <w:b/>
          <w:bCs w:val="0"/>
        </w:rPr>
      </w:pPr>
    </w:p>
    <w:p w14:paraId="7349312C" w14:textId="77777777" w:rsidR="006278C0" w:rsidRDefault="006278C0" w:rsidP="003D3219">
      <w:pPr>
        <w:pStyle w:val="af0"/>
        <w:rPr>
          <w:b/>
          <w:bCs w:val="0"/>
        </w:rPr>
      </w:pPr>
    </w:p>
    <w:p w14:paraId="7BA979F8" w14:textId="77777777" w:rsidR="00003728" w:rsidRDefault="00003728" w:rsidP="003D3219">
      <w:pPr>
        <w:pStyle w:val="af0"/>
        <w:rPr>
          <w:b/>
          <w:bCs w:val="0"/>
        </w:rPr>
      </w:pPr>
    </w:p>
    <w:p w14:paraId="68D63C41" w14:textId="77777777" w:rsidR="00003728" w:rsidRDefault="00003728" w:rsidP="003D3219">
      <w:pPr>
        <w:pStyle w:val="af0"/>
        <w:rPr>
          <w:b/>
          <w:bCs w:val="0"/>
        </w:rPr>
      </w:pPr>
    </w:p>
    <w:p w14:paraId="5AE3F94E" w14:textId="77777777" w:rsidR="00003728" w:rsidRDefault="00003728" w:rsidP="003D3219">
      <w:pPr>
        <w:pStyle w:val="af0"/>
        <w:rPr>
          <w:b/>
          <w:bCs w:val="0"/>
        </w:rPr>
      </w:pPr>
    </w:p>
    <w:p w14:paraId="0CFF13FC" w14:textId="77777777" w:rsidR="00003728" w:rsidRDefault="00003728" w:rsidP="003D3219">
      <w:pPr>
        <w:pStyle w:val="af0"/>
        <w:rPr>
          <w:b/>
          <w:bCs w:val="0"/>
        </w:rPr>
      </w:pPr>
    </w:p>
    <w:p w14:paraId="2D904FE3" w14:textId="77777777" w:rsidR="00003728" w:rsidRDefault="00003728" w:rsidP="003D3219">
      <w:pPr>
        <w:pStyle w:val="af0"/>
        <w:rPr>
          <w:b/>
          <w:bCs w:val="0"/>
        </w:rPr>
      </w:pPr>
    </w:p>
    <w:p w14:paraId="2E2D979E" w14:textId="77777777" w:rsidR="00003728" w:rsidRDefault="00003728" w:rsidP="003D3219">
      <w:pPr>
        <w:pStyle w:val="af0"/>
        <w:rPr>
          <w:b/>
          <w:bCs w:val="0"/>
        </w:rPr>
      </w:pPr>
    </w:p>
    <w:p w14:paraId="271E2784" w14:textId="77777777" w:rsidR="00003728" w:rsidRPr="00EF05CE" w:rsidRDefault="00003728" w:rsidP="00003728">
      <w:pPr>
        <w:pStyle w:val="10"/>
        <w:numPr>
          <w:ilvl w:val="8"/>
          <w:numId w:val="9"/>
        </w:numPr>
        <w:shd w:val="clear" w:color="auto" w:fill="D9E2F3" w:themeFill="accent1" w:themeFillTint="33"/>
        <w:spacing w:before="240" w:after="120" w:line="288" w:lineRule="auto"/>
        <w:ind w:left="0" w:right="43" w:firstLine="0"/>
        <w:jc w:val="center"/>
      </w:pPr>
      <w:bookmarkStart w:id="17" w:name="_Toc144818892"/>
      <w:bookmarkStart w:id="18" w:name="_Toc145326337"/>
      <w:r w:rsidRPr="00E47427">
        <w:lastRenderedPageBreak/>
        <w:t xml:space="preserve">ΘΕΜΑΤΑ </w:t>
      </w:r>
      <w:r w:rsidRPr="00003728">
        <w:t>MARKETING</w:t>
      </w:r>
      <w:r w:rsidRPr="00E47427">
        <w:t>, ΕΜΠΟΡΙΟΥ, ΕΠΙΧΕΙΡΗΜΑΤΙΚΟΤΗΤΑΣ, ΣΤΡΑΤΗΓΙΚΟΥ ΣΧΕΔΙΑΣΜΟΥ ΚΑΙ ΑΝΑΠΤΥΞΗΣ ΑΓΟΡΩΝ</w:t>
      </w:r>
      <w:bookmarkEnd w:id="17"/>
      <w:bookmarkEnd w:id="18"/>
    </w:p>
    <w:p w14:paraId="4ADEB1AB" w14:textId="77777777" w:rsidR="00003728" w:rsidRPr="00003728" w:rsidRDefault="00003728" w:rsidP="00041AB4">
      <w:pPr>
        <w:pStyle w:val="20"/>
        <w:shd w:val="clear" w:color="auto" w:fill="D9D9D9" w:themeFill="background1" w:themeFillShade="D9"/>
        <w:spacing w:before="120" w:after="120" w:line="360" w:lineRule="auto"/>
        <w:ind w:right="45"/>
        <w:jc w:val="center"/>
        <w:rPr>
          <w:rFonts w:ascii="Times New Roman" w:hAnsi="Times New Roman" w:cs="Times New Roman"/>
          <w:b/>
          <w:bCs/>
          <w:color w:val="auto"/>
          <w:sz w:val="24"/>
          <w:szCs w:val="24"/>
        </w:rPr>
      </w:pPr>
      <w:bookmarkStart w:id="19" w:name="_Toc144818893"/>
      <w:bookmarkStart w:id="20" w:name="_Toc145326338"/>
      <w:r w:rsidRPr="00003728">
        <w:rPr>
          <w:rFonts w:ascii="Times New Roman" w:hAnsi="Times New Roman" w:cs="Times New Roman"/>
          <w:b/>
          <w:bCs/>
          <w:color w:val="auto"/>
          <w:sz w:val="24"/>
          <w:szCs w:val="24"/>
        </w:rPr>
        <w:t>Α. Η Στρατηγική Marketing σε 7 βήματα (marketing strategy)</w:t>
      </w:r>
      <w:bookmarkEnd w:id="19"/>
      <w:bookmarkEnd w:id="20"/>
    </w:p>
    <w:p w14:paraId="5C52C83C" w14:textId="77777777" w:rsidR="00003728" w:rsidRPr="00E47427" w:rsidRDefault="00003728" w:rsidP="00003728">
      <w:pPr>
        <w:pStyle w:val="af0"/>
      </w:pPr>
      <w:r w:rsidRPr="00E47427">
        <w:t xml:space="preserve">Η </w:t>
      </w:r>
      <w:r w:rsidRPr="00E47427">
        <w:rPr>
          <w:b/>
        </w:rPr>
        <w:t xml:space="preserve">Στρατηγική </w:t>
      </w:r>
      <w:r w:rsidRPr="00E47427">
        <w:rPr>
          <w:b/>
          <w:lang w:val="en-US"/>
        </w:rPr>
        <w:t>Marketing</w:t>
      </w:r>
      <w:r w:rsidRPr="00E47427">
        <w:t xml:space="preserve">, αναγκαίο </w:t>
      </w:r>
      <w:r>
        <w:t>ε</w:t>
      </w:r>
      <w:r w:rsidRPr="00E47427">
        <w:t xml:space="preserve">ργαλείο σήμερα για την επίτευξη στόχων τόσο Ιδιωτικών όσο και Δημόσιων Φορέων, Επιμελητηρίων και Οργανισμών, συμπυκνώνεται στο ακόλουθο </w:t>
      </w:r>
      <w:r w:rsidRPr="00E47427">
        <w:rPr>
          <w:b/>
        </w:rPr>
        <w:t>Μοντέλο των 7 Βημάτων</w:t>
      </w:r>
      <w:r w:rsidRPr="00E47427">
        <w:t>.</w:t>
      </w:r>
    </w:p>
    <w:p w14:paraId="6ED87AD7" w14:textId="77777777" w:rsidR="00003728" w:rsidRPr="00E47427" w:rsidRDefault="00003728" w:rsidP="00003728">
      <w:pPr>
        <w:pStyle w:val="af0"/>
        <w:shd w:val="clear" w:color="auto" w:fill="F4B083" w:themeFill="accent2" w:themeFillTint="99"/>
        <w:rPr>
          <w:b/>
          <w:bCs w:val="0"/>
        </w:rPr>
      </w:pPr>
      <w:r w:rsidRPr="00E47427">
        <w:rPr>
          <w:b/>
        </w:rPr>
        <w:t xml:space="preserve">ΤΑ 7 ΒΗΜΑΤΑ ΑΠΟΤΕΛΕΣΜΑΤΙΚΗΣ ΣΤΡΑΤΗΓΙΚΗΣ </w:t>
      </w:r>
      <w:r w:rsidRPr="00E47427">
        <w:rPr>
          <w:b/>
          <w:lang w:val="en-US"/>
        </w:rPr>
        <w:t>MARKETING</w:t>
      </w:r>
      <w:r w:rsidRPr="00E47427">
        <w:rPr>
          <w:b/>
        </w:rPr>
        <w:t xml:space="preserve"> :</w:t>
      </w:r>
    </w:p>
    <w:p w14:paraId="01ED6A2B" w14:textId="48680142" w:rsidR="00003728" w:rsidRPr="00E47427" w:rsidRDefault="00003728" w:rsidP="00003728">
      <w:pPr>
        <w:pStyle w:val="af0"/>
        <w:numPr>
          <w:ilvl w:val="0"/>
          <w:numId w:val="43"/>
        </w:numPr>
      </w:pPr>
      <w:proofErr w:type="spellStart"/>
      <w:r w:rsidRPr="00E47427">
        <w:rPr>
          <w:b/>
          <w:u w:val="single"/>
        </w:rPr>
        <w:t>Kατανόηση</w:t>
      </w:r>
      <w:proofErr w:type="spellEnd"/>
      <w:r w:rsidRPr="00E47427">
        <w:rPr>
          <w:b/>
          <w:u w:val="single"/>
        </w:rPr>
        <w:t xml:space="preserve"> &amp; Μελέτη πολίτη/πελάτη/καταναλωτή:</w:t>
      </w:r>
      <w:r w:rsidRPr="00E47427">
        <w:t xml:space="preserve">  Μελέτη και κατανόηση του προφίλ, των χαρακτηριστικών, των αναγκών και του lifestyle του πολίτη/πελάτη/καταναλωτή. Κατόπιν </w:t>
      </w:r>
      <w:r>
        <w:t>γίνεται ο διαχωρισμός του</w:t>
      </w:r>
      <w:r w:rsidRPr="00E47427">
        <w:t xml:space="preserve"> κοιν</w:t>
      </w:r>
      <w:r>
        <w:t>ού</w:t>
      </w:r>
      <w:r w:rsidRPr="00E47427">
        <w:t>-στόχο</w:t>
      </w:r>
      <w:r>
        <w:t>υ</w:t>
      </w:r>
      <w:r w:rsidRPr="00E47427">
        <w:t xml:space="preserve"> μας σε διαφορετικές ομάδες (segmentation &amp; target marketing </w:t>
      </w:r>
      <w:r>
        <w:t xml:space="preserve">και </w:t>
      </w:r>
      <w:r w:rsidRPr="00E47427">
        <w:t>αποφασίζ</w:t>
      </w:r>
      <w:r>
        <w:t>εται</w:t>
      </w:r>
      <w:r w:rsidRPr="00E47427">
        <w:t xml:space="preserve"> με ποιοτικά και ποσοτικά χαρακτηριστικά σε ποια τμήματα πολιτών/πελατών/καταναλωτών </w:t>
      </w:r>
      <w:r>
        <w:t>θα απευθυνθεί ο Οργανισμός (Δημόσιος ή Ιδιωτικός)</w:t>
      </w:r>
      <w:r w:rsidRPr="00E47427">
        <w:t xml:space="preserve"> για την υπηρεσία ή </w:t>
      </w:r>
      <w:r>
        <w:t xml:space="preserve">το </w:t>
      </w:r>
      <w:r w:rsidRPr="00E47427">
        <w:t>προϊόν</w:t>
      </w:r>
      <w:r>
        <w:t xml:space="preserve"> του.</w:t>
      </w:r>
    </w:p>
    <w:p w14:paraId="0C0EA201" w14:textId="77777777" w:rsidR="00003728" w:rsidRPr="00E47427" w:rsidRDefault="00003728" w:rsidP="00003728">
      <w:pPr>
        <w:pStyle w:val="af0"/>
        <w:numPr>
          <w:ilvl w:val="0"/>
          <w:numId w:val="43"/>
        </w:numPr>
        <w:rPr>
          <w:b/>
          <w:bCs w:val="0"/>
          <w:u w:val="single"/>
        </w:rPr>
      </w:pPr>
      <w:proofErr w:type="spellStart"/>
      <w:r w:rsidRPr="00E47427">
        <w:rPr>
          <w:b/>
          <w:u w:val="single"/>
        </w:rPr>
        <w:t>Αναλύση</w:t>
      </w:r>
      <w:proofErr w:type="spellEnd"/>
      <w:r w:rsidRPr="00E47427">
        <w:rPr>
          <w:b/>
          <w:u w:val="single"/>
        </w:rPr>
        <w:t xml:space="preserve"> Αγοράς/</w:t>
      </w:r>
      <w:proofErr w:type="spellStart"/>
      <w:r w:rsidRPr="00E47427">
        <w:rPr>
          <w:b/>
          <w:u w:val="single"/>
        </w:rPr>
        <w:t>Αναλύση</w:t>
      </w:r>
      <w:proofErr w:type="spellEnd"/>
      <w:r w:rsidRPr="00E47427">
        <w:rPr>
          <w:b/>
          <w:u w:val="single"/>
        </w:rPr>
        <w:t xml:space="preserve"> Περιβάλλοντος:  </w:t>
      </w:r>
      <w:r w:rsidRPr="009C6234">
        <w:t xml:space="preserve">Η γνώση του περιβάλλοντος και της αγοράς στην οποία λειτουργεί </w:t>
      </w:r>
      <w:r>
        <w:t>ο Οργανισμός</w:t>
      </w:r>
      <w:r w:rsidRPr="00E47427">
        <w:t xml:space="preserve">, </w:t>
      </w:r>
      <w:r>
        <w:t>καθώς και των παραγόντων που τον</w:t>
      </w:r>
      <w:r w:rsidRPr="00E47427">
        <w:t xml:space="preserve"> επηρεάζουν εντός ή και εκτός (SWOT &amp; PESTEL Αναλύσεις</w:t>
      </w:r>
      <w:r>
        <w:t xml:space="preserve"> εσωτερικού και εξωτερικού περιβάλλοντος</w:t>
      </w:r>
      <w:r w:rsidRPr="00E47427">
        <w:t xml:space="preserve">), βοηθούν </w:t>
      </w:r>
      <w:r>
        <w:t>στην κατανόηση του τι τον</w:t>
      </w:r>
      <w:r w:rsidRPr="00E47427">
        <w:t xml:space="preserve"> επηρεάζει και πως, ώστε να </w:t>
      </w:r>
      <w:r>
        <w:t>χαραχθεί μια</w:t>
      </w:r>
      <w:r w:rsidRPr="00E47427">
        <w:t xml:space="preserve"> αποτελεσματική στρατηγική «πλεύσης» που θα οδηγήσει στην επιτυχία και επίτευξη των Στόχων που </w:t>
      </w:r>
      <w:r>
        <w:t>έχουν τεθεί</w:t>
      </w:r>
      <w:r w:rsidRPr="00E47427">
        <w:t>.</w:t>
      </w:r>
    </w:p>
    <w:p w14:paraId="2869C48D" w14:textId="77777777" w:rsidR="00003728" w:rsidRPr="00E47427" w:rsidRDefault="00003728" w:rsidP="00003728">
      <w:pPr>
        <w:pStyle w:val="af0"/>
        <w:numPr>
          <w:ilvl w:val="0"/>
          <w:numId w:val="43"/>
        </w:numPr>
        <w:rPr>
          <w:b/>
          <w:bCs w:val="0"/>
          <w:u w:val="single"/>
        </w:rPr>
      </w:pPr>
      <w:r w:rsidRPr="00E47427">
        <w:rPr>
          <w:b/>
          <w:u w:val="single"/>
        </w:rPr>
        <w:t>Ανάλυση Ανταγωνισμού:</w:t>
      </w:r>
      <w:r w:rsidRPr="00E47427">
        <w:t xml:space="preserve"> </w:t>
      </w:r>
      <w:r>
        <w:t>Η μελέτη και ανάλυση του ανταγωνισμού είναι απαραίτητη ενέργεια για τη χάραξη μια αποτελεσματικής στρατηγικής marketing και την επιθυμητή επίτευξη στόχων</w:t>
      </w:r>
      <w:r w:rsidRPr="002A347F">
        <w:t xml:space="preserve">, </w:t>
      </w:r>
      <w:r>
        <w:t xml:space="preserve">ιδιαίτερα για τις ιδιωτικές επιχειρήσεις, αλλά </w:t>
      </w:r>
      <w:r w:rsidRPr="00E47427">
        <w:t>ακόμη και στην περίπτωση</w:t>
      </w:r>
      <w:r>
        <w:t xml:space="preserve"> δημοσίων Φορέων που συναλλάσσονται με τους πολίτες και ενδιαφέρονται για την προβολή και προώθηση της εικόνας τους</w:t>
      </w:r>
      <w:r w:rsidRPr="00E47427">
        <w:t>.</w:t>
      </w:r>
    </w:p>
    <w:p w14:paraId="7CA62AEE" w14:textId="77777777" w:rsidR="00003728" w:rsidRPr="00E47427" w:rsidRDefault="00003728" w:rsidP="00003728">
      <w:pPr>
        <w:pStyle w:val="af0"/>
        <w:numPr>
          <w:ilvl w:val="0"/>
          <w:numId w:val="43"/>
        </w:numPr>
        <w:rPr>
          <w:b/>
          <w:bCs w:val="0"/>
          <w:u w:val="single"/>
        </w:rPr>
      </w:pPr>
      <w:r w:rsidRPr="00E47427">
        <w:rPr>
          <w:b/>
          <w:u w:val="single"/>
        </w:rPr>
        <w:t>Ορισμός των 4P του Μίγματος Marketing:</w:t>
      </w:r>
      <w:r w:rsidRPr="00E47427">
        <w:t xml:space="preserve"> </w:t>
      </w:r>
      <w:r>
        <w:t xml:space="preserve">Απαραίτητο για τη χάραξη μια αποτελεσματικής στρατηγικής είναι και </w:t>
      </w:r>
      <w:r w:rsidRPr="00E47427">
        <w:t xml:space="preserve">ο ορισμός και μελέτη </w:t>
      </w:r>
      <w:r>
        <w:t xml:space="preserve">του προϊόντος, της τιμής του, της τοποθέτησής του και τέλος της προώθησής του, δηλαδή </w:t>
      </w:r>
      <w:r w:rsidRPr="00E47427">
        <w:t xml:space="preserve">των </w:t>
      </w:r>
      <w:r>
        <w:t xml:space="preserve">λεγόμενων </w:t>
      </w:r>
      <w:r w:rsidRPr="00E47427">
        <w:t>4P</w:t>
      </w:r>
      <w:r>
        <w:t xml:space="preserve"> (Product</w:t>
      </w:r>
      <w:r w:rsidRPr="00A10474">
        <w:t>-</w:t>
      </w:r>
      <w:r>
        <w:t>Price</w:t>
      </w:r>
      <w:r w:rsidRPr="00A10474">
        <w:t>-</w:t>
      </w:r>
      <w:r>
        <w:t>Place</w:t>
      </w:r>
      <w:r w:rsidRPr="00A10474">
        <w:t>-</w:t>
      </w:r>
      <w:r>
        <w:t>Promotion</w:t>
      </w:r>
      <w:r w:rsidRPr="00A10474">
        <w:t>)</w:t>
      </w:r>
      <w:r>
        <w:t xml:space="preserve"> καθώς θα πρέπει να δοθούν απαντήσεις στα παρακάτω</w:t>
      </w:r>
      <w:r w:rsidRPr="00E47427">
        <w:t xml:space="preserve"> ερωτήματα:</w:t>
      </w:r>
    </w:p>
    <w:p w14:paraId="0DC9D5A0" w14:textId="77777777" w:rsidR="00003728" w:rsidRPr="00A10474" w:rsidRDefault="00003728" w:rsidP="00003728">
      <w:pPr>
        <w:pStyle w:val="a7"/>
        <w:numPr>
          <w:ilvl w:val="0"/>
          <w:numId w:val="42"/>
        </w:numPr>
        <w:spacing w:before="120" w:after="160" w:line="259" w:lineRule="auto"/>
        <w:contextualSpacing w:val="0"/>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 xml:space="preserve">Ποιο είναι το </w:t>
      </w:r>
      <w:bookmarkStart w:id="21" w:name="_Hlk144454308"/>
      <w:r>
        <w:rPr>
          <w:rFonts w:ascii="Times New Roman" w:hAnsi="Times New Roman" w:cs="Times New Roman"/>
          <w:b/>
          <w:bCs/>
          <w:sz w:val="24"/>
          <w:szCs w:val="24"/>
          <w:lang w:val="el-GR"/>
        </w:rPr>
        <w:t>προϊόν/ υπηρεσία που προσφέρεται</w:t>
      </w:r>
      <w:bookmarkEnd w:id="21"/>
      <w:r>
        <w:rPr>
          <w:rFonts w:ascii="Times New Roman" w:hAnsi="Times New Roman" w:cs="Times New Roman"/>
          <w:b/>
          <w:bCs/>
          <w:sz w:val="24"/>
          <w:szCs w:val="24"/>
          <w:lang w:val="el-GR"/>
        </w:rPr>
        <w:t>;</w:t>
      </w:r>
    </w:p>
    <w:p w14:paraId="13151F3D" w14:textId="77777777" w:rsidR="00003728" w:rsidRPr="00A10474" w:rsidRDefault="00003728" w:rsidP="00003728">
      <w:pPr>
        <w:pStyle w:val="a7"/>
        <w:numPr>
          <w:ilvl w:val="0"/>
          <w:numId w:val="42"/>
        </w:numPr>
        <w:spacing w:before="120" w:after="160" w:line="259" w:lineRule="auto"/>
        <w:contextualSpacing w:val="0"/>
        <w:jc w:val="both"/>
        <w:rPr>
          <w:rFonts w:ascii="Times New Roman" w:hAnsi="Times New Roman" w:cs="Times New Roman"/>
          <w:sz w:val="24"/>
          <w:szCs w:val="24"/>
          <w:lang w:val="el-GR"/>
        </w:rPr>
      </w:pPr>
      <w:r w:rsidRPr="00E47427">
        <w:rPr>
          <w:rFonts w:ascii="Times New Roman" w:hAnsi="Times New Roman" w:cs="Times New Roman"/>
          <w:b/>
          <w:bCs/>
          <w:sz w:val="24"/>
          <w:szCs w:val="24"/>
          <w:lang w:val="el-GR"/>
        </w:rPr>
        <w:t>Σε ποια τιμή πρέπει να προσφερθ</w:t>
      </w:r>
      <w:r>
        <w:rPr>
          <w:rFonts w:ascii="Times New Roman" w:hAnsi="Times New Roman" w:cs="Times New Roman"/>
          <w:b/>
          <w:bCs/>
          <w:sz w:val="24"/>
          <w:szCs w:val="24"/>
          <w:lang w:val="el-GR"/>
        </w:rPr>
        <w:t xml:space="preserve">εί; </w:t>
      </w:r>
      <w:r w:rsidRPr="00E47427">
        <w:rPr>
          <w:rFonts w:ascii="Times New Roman" w:hAnsi="Times New Roman" w:cs="Times New Roman"/>
          <w:b/>
          <w:bCs/>
          <w:sz w:val="24"/>
          <w:szCs w:val="24"/>
          <w:lang w:val="el-GR"/>
        </w:rPr>
        <w:t>(</w:t>
      </w:r>
      <w:r w:rsidRPr="00A10474">
        <w:rPr>
          <w:rFonts w:ascii="Times New Roman" w:hAnsi="Times New Roman" w:cs="Times New Roman"/>
          <w:sz w:val="24"/>
          <w:szCs w:val="24"/>
          <w:lang w:val="el-GR"/>
        </w:rPr>
        <w:t xml:space="preserve">ακόμη και αν οι υπηρεσίες είναι </w:t>
      </w:r>
      <w:r>
        <w:rPr>
          <w:rFonts w:ascii="Times New Roman" w:hAnsi="Times New Roman" w:cs="Times New Roman"/>
          <w:sz w:val="24"/>
          <w:szCs w:val="24"/>
          <w:lang w:val="el-GR"/>
        </w:rPr>
        <w:t>δ</w:t>
      </w:r>
      <w:r w:rsidRPr="00A10474">
        <w:rPr>
          <w:rFonts w:ascii="Times New Roman" w:hAnsi="Times New Roman" w:cs="Times New Roman"/>
          <w:sz w:val="24"/>
          <w:szCs w:val="24"/>
          <w:lang w:val="el-GR"/>
        </w:rPr>
        <w:t>ωρεάν</w:t>
      </w:r>
      <w:r>
        <w:rPr>
          <w:rFonts w:ascii="Times New Roman" w:hAnsi="Times New Roman" w:cs="Times New Roman"/>
          <w:sz w:val="24"/>
          <w:szCs w:val="24"/>
          <w:lang w:val="el-GR"/>
        </w:rPr>
        <w:t xml:space="preserve"> σε περίπτωση δημόσιου φορέα, </w:t>
      </w:r>
      <w:r w:rsidRPr="00A10474">
        <w:rPr>
          <w:rFonts w:ascii="Times New Roman" w:hAnsi="Times New Roman" w:cs="Times New Roman"/>
          <w:sz w:val="24"/>
          <w:szCs w:val="24"/>
          <w:lang w:val="el-GR"/>
        </w:rPr>
        <w:t>έχουν τελικά κάποιο κόστος άρα και κάποια «τιμή» και πρέπει αυτό να υπολογιστεί).</w:t>
      </w:r>
    </w:p>
    <w:p w14:paraId="2C5C1EE9" w14:textId="77777777" w:rsidR="00003728" w:rsidRPr="00E47427" w:rsidRDefault="00003728" w:rsidP="00003728">
      <w:pPr>
        <w:pStyle w:val="a7"/>
        <w:numPr>
          <w:ilvl w:val="0"/>
          <w:numId w:val="42"/>
        </w:numPr>
        <w:spacing w:before="120" w:after="160" w:line="259" w:lineRule="auto"/>
        <w:contextualSpacing w:val="0"/>
        <w:jc w:val="both"/>
        <w:rPr>
          <w:rFonts w:ascii="Times New Roman" w:hAnsi="Times New Roman" w:cs="Times New Roman"/>
          <w:b/>
          <w:bCs/>
          <w:sz w:val="24"/>
          <w:szCs w:val="24"/>
          <w:lang w:val="el-GR"/>
        </w:rPr>
      </w:pPr>
      <w:r w:rsidRPr="00E47427">
        <w:rPr>
          <w:rFonts w:ascii="Times New Roman" w:hAnsi="Times New Roman" w:cs="Times New Roman"/>
          <w:b/>
          <w:bCs/>
          <w:sz w:val="24"/>
          <w:szCs w:val="24"/>
          <w:lang w:val="el-GR"/>
        </w:rPr>
        <w:t xml:space="preserve">Μέσα από ποια Κανάλια Διανομής θα </w:t>
      </w:r>
      <w:r>
        <w:rPr>
          <w:rFonts w:ascii="Times New Roman" w:hAnsi="Times New Roman" w:cs="Times New Roman"/>
          <w:b/>
          <w:bCs/>
          <w:sz w:val="24"/>
          <w:szCs w:val="24"/>
          <w:lang w:val="el-GR"/>
        </w:rPr>
        <w:t>διατεθούν τα προϊόντα/ υ</w:t>
      </w:r>
      <w:r w:rsidRPr="00E47427">
        <w:rPr>
          <w:rFonts w:ascii="Times New Roman" w:hAnsi="Times New Roman" w:cs="Times New Roman"/>
          <w:b/>
          <w:bCs/>
          <w:sz w:val="24"/>
          <w:szCs w:val="24"/>
          <w:lang w:val="el-GR"/>
        </w:rPr>
        <w:t>πηρεσίες</w:t>
      </w:r>
      <w:r>
        <w:rPr>
          <w:rFonts w:ascii="Times New Roman" w:hAnsi="Times New Roman" w:cs="Times New Roman"/>
          <w:b/>
          <w:bCs/>
          <w:sz w:val="24"/>
          <w:szCs w:val="24"/>
          <w:lang w:val="el-GR"/>
        </w:rPr>
        <w:t>;</w:t>
      </w:r>
    </w:p>
    <w:p w14:paraId="651A8983" w14:textId="77777777" w:rsidR="00003728" w:rsidRPr="00E47427" w:rsidRDefault="00003728" w:rsidP="00003728">
      <w:pPr>
        <w:pStyle w:val="a7"/>
        <w:numPr>
          <w:ilvl w:val="0"/>
          <w:numId w:val="42"/>
        </w:numPr>
        <w:spacing w:before="120" w:after="160" w:line="259" w:lineRule="auto"/>
        <w:ind w:left="1185" w:hanging="357"/>
        <w:contextualSpacing w:val="0"/>
        <w:jc w:val="both"/>
        <w:rPr>
          <w:rFonts w:ascii="Times New Roman" w:hAnsi="Times New Roman" w:cs="Times New Roman"/>
          <w:b/>
          <w:bCs/>
          <w:sz w:val="24"/>
          <w:szCs w:val="24"/>
          <w:lang w:val="el-GR"/>
        </w:rPr>
      </w:pPr>
      <w:r w:rsidRPr="00E47427">
        <w:rPr>
          <w:rFonts w:ascii="Times New Roman" w:hAnsi="Times New Roman" w:cs="Times New Roman"/>
          <w:b/>
          <w:bCs/>
          <w:sz w:val="24"/>
          <w:szCs w:val="24"/>
          <w:lang w:val="el-GR"/>
        </w:rPr>
        <w:t xml:space="preserve">Και τέλος με ποιο τρόπο θα </w:t>
      </w:r>
      <w:r>
        <w:rPr>
          <w:rFonts w:ascii="Times New Roman" w:hAnsi="Times New Roman" w:cs="Times New Roman"/>
          <w:b/>
          <w:bCs/>
          <w:sz w:val="24"/>
          <w:szCs w:val="24"/>
          <w:lang w:val="el-GR"/>
        </w:rPr>
        <w:t>ενημερωθεί ο πελάτης/ αποδέκτης</w:t>
      </w:r>
      <w:r w:rsidRPr="00E47427">
        <w:rPr>
          <w:rFonts w:ascii="Times New Roman" w:hAnsi="Times New Roman" w:cs="Times New Roman"/>
          <w:b/>
          <w:bCs/>
          <w:sz w:val="24"/>
          <w:szCs w:val="24"/>
          <w:lang w:val="el-GR"/>
        </w:rPr>
        <w:t xml:space="preserve"> </w:t>
      </w:r>
      <w:r>
        <w:rPr>
          <w:rFonts w:ascii="Times New Roman" w:hAnsi="Times New Roman" w:cs="Times New Roman"/>
          <w:b/>
          <w:bCs/>
          <w:sz w:val="24"/>
          <w:szCs w:val="24"/>
          <w:lang w:val="el-GR"/>
        </w:rPr>
        <w:t xml:space="preserve">για το </w:t>
      </w:r>
      <w:r w:rsidRPr="00A10474">
        <w:rPr>
          <w:rFonts w:ascii="Times New Roman" w:hAnsi="Times New Roman" w:cs="Times New Roman"/>
          <w:b/>
          <w:bCs/>
          <w:sz w:val="24"/>
          <w:szCs w:val="24"/>
          <w:lang w:val="el-GR"/>
        </w:rPr>
        <w:t>προϊόν/ υπηρεσία που προσφέρεται</w:t>
      </w:r>
      <w:r>
        <w:rPr>
          <w:rFonts w:ascii="Times New Roman" w:hAnsi="Times New Roman" w:cs="Times New Roman"/>
          <w:b/>
          <w:bCs/>
          <w:sz w:val="24"/>
          <w:szCs w:val="24"/>
          <w:lang w:val="el-GR"/>
        </w:rPr>
        <w:t>;</w:t>
      </w:r>
    </w:p>
    <w:p w14:paraId="461A619F" w14:textId="77777777" w:rsidR="00003728" w:rsidRPr="00F27379" w:rsidRDefault="00003728" w:rsidP="00003728">
      <w:pPr>
        <w:pStyle w:val="af0"/>
        <w:numPr>
          <w:ilvl w:val="0"/>
          <w:numId w:val="43"/>
        </w:numPr>
        <w:rPr>
          <w:b/>
          <w:bCs w:val="0"/>
          <w:u w:val="single"/>
        </w:rPr>
      </w:pPr>
      <w:r w:rsidRPr="00E47427">
        <w:rPr>
          <w:b/>
          <w:u w:val="single"/>
        </w:rPr>
        <w:lastRenderedPageBreak/>
        <w:t xml:space="preserve"> </w:t>
      </w:r>
      <w:r w:rsidRPr="00F27379">
        <w:rPr>
          <w:b/>
          <w:u w:val="single"/>
        </w:rPr>
        <w:t xml:space="preserve">Καθορισμός Θέσης στην Αγορά:  </w:t>
      </w:r>
      <w:r w:rsidRPr="00F27379">
        <w:t xml:space="preserve">Ως συνέχεια της μελέτης της Αγοράς και του Ανταγωνισμού πρέπει </w:t>
      </w:r>
      <w:r>
        <w:t>να οριστεί</w:t>
      </w:r>
      <w:r w:rsidRPr="00F27379">
        <w:t xml:space="preserve"> με διάφορα κριτήρια (Ποιότητας, Τιμής, </w:t>
      </w:r>
      <w:proofErr w:type="spellStart"/>
      <w:r w:rsidRPr="00F27379">
        <w:t>κλπ</w:t>
      </w:r>
      <w:proofErr w:type="spellEnd"/>
      <w:r w:rsidRPr="00F27379">
        <w:t xml:space="preserve">) </w:t>
      </w:r>
      <w:r>
        <w:t xml:space="preserve">η </w:t>
      </w:r>
      <w:r w:rsidRPr="00F27379">
        <w:t xml:space="preserve">θέση </w:t>
      </w:r>
      <w:r>
        <w:t>του Οργανισμού</w:t>
      </w:r>
      <w:r w:rsidRPr="00F27379">
        <w:t xml:space="preserve"> στην Αγορά/Κοινωνία σε σχέση πάντα με </w:t>
      </w:r>
      <w:r>
        <w:t>τον ανταγωνισμό, χρησιμοποιώντας χάρτες τοποθέτησης (positioning</w:t>
      </w:r>
      <w:r w:rsidRPr="00F27379">
        <w:t xml:space="preserve"> </w:t>
      </w:r>
      <w:r>
        <w:t>maps</w:t>
      </w:r>
      <w:r w:rsidRPr="00F27379">
        <w:t>)</w:t>
      </w:r>
      <w:r>
        <w:t xml:space="preserve"> οι οποίοι θα εμφανίζουν τη θέση του</w:t>
      </w:r>
      <w:r w:rsidRPr="00F27379">
        <w:t xml:space="preserve"> σε σχέση με τα οριζόμενα κριτήρια. </w:t>
      </w:r>
    </w:p>
    <w:p w14:paraId="7D1FF457" w14:textId="77777777" w:rsidR="00003728" w:rsidRPr="00F27379" w:rsidRDefault="00003728" w:rsidP="00003728">
      <w:pPr>
        <w:pStyle w:val="af0"/>
        <w:numPr>
          <w:ilvl w:val="0"/>
          <w:numId w:val="43"/>
        </w:numPr>
        <w:rPr>
          <w:b/>
          <w:bCs w:val="0"/>
          <w:u w:val="single"/>
        </w:rPr>
      </w:pPr>
      <w:r w:rsidRPr="00F27379">
        <w:rPr>
          <w:b/>
          <w:u w:val="single"/>
        </w:rPr>
        <w:t xml:space="preserve">Ορισμός </w:t>
      </w:r>
      <w:proofErr w:type="spellStart"/>
      <w:r w:rsidRPr="00F27379">
        <w:rPr>
          <w:b/>
          <w:u w:val="single"/>
        </w:rPr>
        <w:t>Προυπολογισμού</w:t>
      </w:r>
      <w:proofErr w:type="spellEnd"/>
      <w:r w:rsidRPr="00F27379">
        <w:rPr>
          <w:b/>
          <w:u w:val="single"/>
        </w:rPr>
        <w:t>:</w:t>
      </w:r>
      <w:r w:rsidRPr="00F27379">
        <w:t xml:space="preserve"> Βασικό Εργαλείο επίτευξης στόχων ο προϋπολογισμός που επιτρέπει να </w:t>
      </w:r>
      <w:r>
        <w:t xml:space="preserve">γίνει η εκτίμηση των αναγκαίων πόρων που είναι απαραίτητοι </w:t>
      </w:r>
      <w:r w:rsidRPr="00F27379">
        <w:t xml:space="preserve">για την επίτευξη των </w:t>
      </w:r>
      <w:r>
        <w:t>στόχων του Οργανισμού</w:t>
      </w:r>
      <w:r w:rsidRPr="00F27379">
        <w:t xml:space="preserve">.  Με βάση τον προϋπολογισμό ίσως χρειαστεί να </w:t>
      </w:r>
      <w:r>
        <w:t xml:space="preserve">γίνει αναδιάταξη προτεραιοτήτων ή εκτέλεσή </w:t>
      </w:r>
      <w:r w:rsidRPr="00F27379">
        <w:t xml:space="preserve">με λιγότερο budget. </w:t>
      </w:r>
    </w:p>
    <w:p w14:paraId="4DED96CE" w14:textId="77777777" w:rsidR="00003728" w:rsidRPr="00F27379" w:rsidRDefault="00003728" w:rsidP="00003728">
      <w:pPr>
        <w:pStyle w:val="af0"/>
        <w:numPr>
          <w:ilvl w:val="0"/>
          <w:numId w:val="43"/>
        </w:numPr>
        <w:rPr>
          <w:b/>
          <w:bCs w:val="0"/>
          <w:u w:val="single"/>
        </w:rPr>
      </w:pPr>
      <w:r w:rsidRPr="00F27379">
        <w:rPr>
          <w:b/>
          <w:u w:val="single"/>
        </w:rPr>
        <w:t>ΕΚΤΕΛΕΣΤΙΚΟ ΠΛΑΝΟ:</w:t>
      </w:r>
      <w:r w:rsidRPr="0074144D">
        <w:t xml:space="preserve"> </w:t>
      </w:r>
      <w:r>
        <w:t>Με δεδομένο</w:t>
      </w:r>
      <w:r w:rsidRPr="00F27379">
        <w:t xml:space="preserve"> ότι ακόμη και η καλύτερη Στρατηγική εάν δεν </w:t>
      </w:r>
      <w:r>
        <w:t>ε</w:t>
      </w:r>
      <w:r w:rsidRPr="00F27379">
        <w:t xml:space="preserve">κτελεστεί ορθά </w:t>
      </w:r>
      <w:r>
        <w:t xml:space="preserve">και </w:t>
      </w:r>
      <w:r w:rsidRPr="00F27379">
        <w:t xml:space="preserve">με αποτελεσματικό </w:t>
      </w:r>
      <w:r>
        <w:t>π</w:t>
      </w:r>
      <w:r w:rsidRPr="00F27379">
        <w:t>λάνο μπορεί τελικά να αποτύχει</w:t>
      </w:r>
      <w:r>
        <w:t xml:space="preserve">, το εκτελεστικό πλάνο </w:t>
      </w:r>
      <w:r w:rsidRPr="00F27379">
        <w:t xml:space="preserve"> πρέπει να γίνεται με προσοχή και ακρίβεια ώστε τελικά να </w:t>
      </w:r>
      <w:r>
        <w:t xml:space="preserve">επιτευχθεί </w:t>
      </w:r>
      <w:r w:rsidRPr="00F27379">
        <w:t>το επιδιωκόμενο αποτέλεσμα</w:t>
      </w:r>
      <w:r>
        <w:t>, χρησιμοποιώντας</w:t>
      </w:r>
      <w:r w:rsidRPr="00F27379">
        <w:t xml:space="preserve"> Τακτικές Εκτέλεσης-Χρονοδιαγράμματα- και τέλος KPIs δηλ. Key Performance Indicators (Δείκτες απόδοσης)</w:t>
      </w:r>
      <w:r>
        <w:t>,</w:t>
      </w:r>
      <w:r w:rsidRPr="00F27379">
        <w:t xml:space="preserve"> </w:t>
      </w:r>
      <w:r>
        <w:t>βάσει των οποίων</w:t>
      </w:r>
      <w:r w:rsidRPr="00F27379">
        <w:t xml:space="preserve"> </w:t>
      </w:r>
      <w:r>
        <w:t>γίνεται η</w:t>
      </w:r>
      <w:r w:rsidRPr="00F27379">
        <w:t xml:space="preserve"> αξιολόγηση του επιτευχθέντος αποτελέσματος.</w:t>
      </w:r>
    </w:p>
    <w:p w14:paraId="750DA274" w14:textId="77777777" w:rsidR="00003728" w:rsidRDefault="00003728" w:rsidP="003D3219">
      <w:pPr>
        <w:pStyle w:val="af0"/>
        <w:rPr>
          <w:rFonts w:eastAsia="Times New Roman"/>
          <w:b/>
          <w:lang w:eastAsia="el-GR"/>
        </w:rPr>
      </w:pPr>
    </w:p>
    <w:p w14:paraId="51E72B44" w14:textId="2C73B8AE" w:rsidR="00003728" w:rsidRDefault="00003728" w:rsidP="00003728">
      <w:pPr>
        <w:pStyle w:val="af0"/>
        <w:jc w:val="center"/>
        <w:rPr>
          <w:rFonts w:eastAsia="Times New Roman"/>
          <w:b/>
          <w:lang w:eastAsia="el-GR"/>
        </w:rPr>
      </w:pPr>
      <w:r>
        <w:rPr>
          <w:rFonts w:cstheme="minorHAnsi"/>
          <w:noProof/>
        </w:rPr>
        <w:drawing>
          <wp:inline distT="0" distB="0" distL="0" distR="0" wp14:anchorId="6E80B10B" wp14:editId="7E423EB0">
            <wp:extent cx="5508345" cy="3152760"/>
            <wp:effectExtent l="0" t="0" r="0" b="0"/>
            <wp:docPr id="8" name="Εικόνα 8" descr="Εικόνα που περιέχει κείμενο, στιγμιότυπο οθόνης, γραμματοσειρά, επωνυ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 στιγμιότυπο οθόνης, γραμματοσειρά, επωνυμία&#10;&#10;Περιγραφή που δημιουργήθηκε αυτόματ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7798" cy="3186789"/>
                    </a:xfrm>
                    <a:prstGeom prst="rect">
                      <a:avLst/>
                    </a:prstGeom>
                    <a:noFill/>
                  </pic:spPr>
                </pic:pic>
              </a:graphicData>
            </a:graphic>
          </wp:inline>
        </w:drawing>
      </w:r>
    </w:p>
    <w:p w14:paraId="72676239" w14:textId="77777777" w:rsidR="006278C0" w:rsidRDefault="006278C0" w:rsidP="00003728">
      <w:pPr>
        <w:pStyle w:val="af0"/>
        <w:jc w:val="center"/>
        <w:rPr>
          <w:rFonts w:eastAsia="Times New Roman"/>
          <w:b/>
          <w:lang w:eastAsia="el-GR"/>
        </w:rPr>
      </w:pPr>
    </w:p>
    <w:p w14:paraId="65A39764" w14:textId="77777777" w:rsidR="006278C0" w:rsidRDefault="006278C0" w:rsidP="00003728">
      <w:pPr>
        <w:pStyle w:val="af0"/>
        <w:jc w:val="center"/>
        <w:rPr>
          <w:rFonts w:eastAsia="Times New Roman"/>
          <w:b/>
          <w:lang w:eastAsia="el-GR"/>
        </w:rPr>
      </w:pPr>
    </w:p>
    <w:p w14:paraId="56D199E7" w14:textId="77777777" w:rsidR="006278C0" w:rsidRDefault="006278C0" w:rsidP="00003728">
      <w:pPr>
        <w:pStyle w:val="af0"/>
        <w:jc w:val="center"/>
        <w:rPr>
          <w:rFonts w:eastAsia="Times New Roman"/>
          <w:b/>
          <w:lang w:eastAsia="el-GR"/>
        </w:rPr>
      </w:pPr>
    </w:p>
    <w:p w14:paraId="16DD3D0C" w14:textId="77777777" w:rsidR="006278C0" w:rsidRDefault="006278C0" w:rsidP="00003728">
      <w:pPr>
        <w:pStyle w:val="af0"/>
        <w:jc w:val="center"/>
        <w:rPr>
          <w:rFonts w:eastAsia="Times New Roman"/>
          <w:b/>
          <w:lang w:eastAsia="el-GR"/>
        </w:rPr>
      </w:pPr>
    </w:p>
    <w:p w14:paraId="65649041" w14:textId="77777777" w:rsidR="006278C0" w:rsidRDefault="006278C0" w:rsidP="00003728">
      <w:pPr>
        <w:pStyle w:val="af0"/>
        <w:jc w:val="center"/>
        <w:rPr>
          <w:rFonts w:eastAsia="Times New Roman"/>
          <w:b/>
          <w:lang w:eastAsia="el-GR"/>
        </w:rPr>
      </w:pPr>
    </w:p>
    <w:p w14:paraId="0BE7EAE7" w14:textId="77777777" w:rsidR="006278C0" w:rsidRPr="00957288" w:rsidRDefault="006278C0" w:rsidP="006278C0">
      <w:pPr>
        <w:pStyle w:val="10"/>
        <w:numPr>
          <w:ilvl w:val="8"/>
          <w:numId w:val="9"/>
        </w:numPr>
        <w:shd w:val="clear" w:color="auto" w:fill="D9E2F3" w:themeFill="accent1" w:themeFillTint="33"/>
        <w:spacing w:before="240" w:after="120" w:line="288" w:lineRule="auto"/>
        <w:ind w:left="0" w:right="43" w:firstLine="0"/>
        <w:jc w:val="center"/>
      </w:pPr>
      <w:bookmarkStart w:id="22" w:name="_Toc145326339"/>
      <w:r w:rsidRPr="00C56941">
        <w:lastRenderedPageBreak/>
        <w:t>ΘΕΜΑΤΑ ΨΗΦΙΑΚΟΥ ΜΕΤΑΣΧΗΜΑΤΙΣΜΟΥ</w:t>
      </w:r>
      <w:bookmarkEnd w:id="22"/>
    </w:p>
    <w:p w14:paraId="5B2B4D79" w14:textId="77777777" w:rsidR="006278C0" w:rsidRPr="00003728" w:rsidRDefault="006278C0" w:rsidP="006278C0">
      <w:pPr>
        <w:pStyle w:val="20"/>
        <w:shd w:val="clear" w:color="auto" w:fill="D9D9D9" w:themeFill="background1" w:themeFillShade="D9"/>
        <w:spacing w:before="120" w:after="120" w:line="360" w:lineRule="auto"/>
        <w:ind w:right="45"/>
        <w:jc w:val="center"/>
        <w:rPr>
          <w:rFonts w:ascii="Times New Roman" w:hAnsi="Times New Roman" w:cs="Times New Roman"/>
          <w:b/>
          <w:bCs/>
          <w:color w:val="auto"/>
          <w:sz w:val="24"/>
          <w:szCs w:val="24"/>
        </w:rPr>
      </w:pPr>
      <w:bookmarkStart w:id="23" w:name="_Toc144818891"/>
      <w:bookmarkStart w:id="24" w:name="_Toc145326340"/>
      <w:r w:rsidRPr="00957288">
        <w:rPr>
          <w:rFonts w:ascii="Times New Roman" w:hAnsi="Times New Roman" w:cs="Times New Roman"/>
          <w:b/>
          <w:bCs/>
          <w:color w:val="auto"/>
          <w:sz w:val="24"/>
          <w:szCs w:val="24"/>
        </w:rPr>
        <w:t xml:space="preserve">Α. </w:t>
      </w:r>
      <w:r w:rsidRPr="00747608">
        <w:rPr>
          <w:rFonts w:ascii="Times New Roman" w:hAnsi="Times New Roman" w:cs="Times New Roman"/>
          <w:b/>
          <w:bCs/>
          <w:color w:val="auto"/>
          <w:sz w:val="24"/>
          <w:szCs w:val="24"/>
        </w:rPr>
        <w:t>Η</w:t>
      </w:r>
      <w:r w:rsidRPr="00003728">
        <w:rPr>
          <w:rFonts w:ascii="Times New Roman" w:hAnsi="Times New Roman" w:cs="Times New Roman"/>
          <w:b/>
          <w:bCs/>
          <w:color w:val="auto"/>
          <w:sz w:val="24"/>
          <w:szCs w:val="24"/>
        </w:rPr>
        <w:t xml:space="preserve"> </w:t>
      </w:r>
      <w:r w:rsidRPr="00747608">
        <w:rPr>
          <w:rFonts w:ascii="Times New Roman" w:hAnsi="Times New Roman" w:cs="Times New Roman"/>
          <w:b/>
          <w:bCs/>
          <w:color w:val="auto"/>
          <w:sz w:val="24"/>
          <w:szCs w:val="24"/>
        </w:rPr>
        <w:t xml:space="preserve">Ευρωπαϊκή Επιτροπή προωθεί την </w:t>
      </w:r>
      <w:proofErr w:type="spellStart"/>
      <w:r w:rsidRPr="00747608">
        <w:rPr>
          <w:rFonts w:ascii="Times New Roman" w:hAnsi="Times New Roman" w:cs="Times New Roman"/>
          <w:b/>
          <w:bCs/>
          <w:color w:val="auto"/>
          <w:sz w:val="24"/>
          <w:szCs w:val="24"/>
        </w:rPr>
        <w:t>κοινοχρησία</w:t>
      </w:r>
      <w:proofErr w:type="spellEnd"/>
      <w:r w:rsidRPr="00747608">
        <w:rPr>
          <w:rFonts w:ascii="Times New Roman" w:hAnsi="Times New Roman" w:cs="Times New Roman"/>
          <w:b/>
          <w:bCs/>
          <w:color w:val="auto"/>
          <w:sz w:val="24"/>
          <w:szCs w:val="24"/>
        </w:rPr>
        <w:t xml:space="preserve"> δεδομένων </w:t>
      </w:r>
      <w:r>
        <w:rPr>
          <w:rFonts w:ascii="Times New Roman" w:hAnsi="Times New Roman" w:cs="Times New Roman"/>
          <w:b/>
          <w:bCs/>
          <w:color w:val="auto"/>
          <w:sz w:val="24"/>
          <w:szCs w:val="24"/>
        </w:rPr>
        <w:t>&amp;</w:t>
      </w:r>
      <w:r w:rsidRPr="00747608">
        <w:rPr>
          <w:rFonts w:ascii="Times New Roman" w:hAnsi="Times New Roman" w:cs="Times New Roman"/>
          <w:b/>
          <w:bCs/>
          <w:color w:val="auto"/>
          <w:sz w:val="24"/>
          <w:szCs w:val="24"/>
        </w:rPr>
        <w:t xml:space="preserve"> την καινοτομία για</w:t>
      </w:r>
      <w:r>
        <w:rPr>
          <w:rFonts w:ascii="Times New Roman" w:hAnsi="Times New Roman" w:cs="Times New Roman"/>
          <w:b/>
          <w:bCs/>
          <w:color w:val="auto"/>
          <w:sz w:val="24"/>
          <w:szCs w:val="24"/>
        </w:rPr>
        <w:t xml:space="preserve"> </w:t>
      </w:r>
      <w:r w:rsidRPr="00747608">
        <w:rPr>
          <w:rFonts w:ascii="Times New Roman" w:hAnsi="Times New Roman" w:cs="Times New Roman"/>
          <w:b/>
          <w:bCs/>
          <w:color w:val="auto"/>
          <w:sz w:val="24"/>
          <w:szCs w:val="24"/>
        </w:rPr>
        <w:t>ένα έξυπνο, βιώσιμο και ανθεκτικό τουριστικό οικοσύστημα της ΕΕ</w:t>
      </w:r>
      <w:bookmarkEnd w:id="23"/>
      <w:bookmarkEnd w:id="24"/>
    </w:p>
    <w:p w14:paraId="27480595" w14:textId="77777777" w:rsidR="006278C0" w:rsidRPr="00747608" w:rsidRDefault="006278C0" w:rsidP="00041AB4">
      <w:pPr>
        <w:pStyle w:val="af0"/>
      </w:pPr>
      <w:r w:rsidRPr="00747608">
        <w:t xml:space="preserve">Η Ευρωπαϊκή Επιτροπή δημοσίευσε ανακοίνωση στην οποία παρουσιάζονται </w:t>
      </w:r>
      <w:r w:rsidRPr="00747608">
        <w:rPr>
          <w:b/>
        </w:rPr>
        <w:t>τα δομικά στοιχεία ενός κοινού</w:t>
      </w:r>
      <w:r w:rsidRPr="007F773D">
        <w:rPr>
          <w:b/>
        </w:rPr>
        <w:t xml:space="preserve"> </w:t>
      </w:r>
      <w:r w:rsidRPr="00747608">
        <w:rPr>
          <w:b/>
        </w:rPr>
        <w:t>ευρωπαϊκού χώρου δεδομένων για τον τουρισμό</w:t>
      </w:r>
      <w:r w:rsidRPr="00747608">
        <w:t>. Ο εν λόγω χώρος δεδομένων θα επιτρέψει στις τουριστικές επιχειρήσεις και στις δημόσιες αρχές να ανταλλάσσουν ευρύ φάσμα δεδομένων με σκοπό την ενημέρωση σχετικά με την ανάπτυξη καινοτόμων τουριστικών υπηρεσιών, τη βελτίωση της βιωσιμότητας του τουριστικού οικοσυστήματος και την ενίσχυση της οικονομικής ανταγωνιστικότητάς του.</w:t>
      </w:r>
    </w:p>
    <w:p w14:paraId="110AEAD1" w14:textId="77777777" w:rsidR="006278C0" w:rsidRPr="00747608" w:rsidRDefault="006278C0" w:rsidP="00041AB4">
      <w:pPr>
        <w:pStyle w:val="af0"/>
      </w:pPr>
      <w:r w:rsidRPr="00747608">
        <w:t xml:space="preserve">Ο τουρισμός αποτελεί ένα σύνθετο, ταχέως εξελισσόμενο </w:t>
      </w:r>
      <w:r w:rsidRPr="00747608">
        <w:rPr>
          <w:b/>
        </w:rPr>
        <w:t>βιομηχανικό οικοσύστημα</w:t>
      </w:r>
      <w:r w:rsidRPr="00747608">
        <w:t xml:space="preserve"> που παράγει και καταναλώνει τεράστιο όγκο δεδομένων. Ο κοινός ευρωπαϊκός χώρος δεδομένων για τον τουρισμό:</w:t>
      </w:r>
    </w:p>
    <w:p w14:paraId="6ADF048D" w14:textId="77777777" w:rsidR="006278C0" w:rsidRPr="00747608" w:rsidRDefault="006278C0" w:rsidP="00041AB4">
      <w:pPr>
        <w:pStyle w:val="af0"/>
        <w:numPr>
          <w:ilvl w:val="0"/>
          <w:numId w:val="40"/>
        </w:numPr>
      </w:pPr>
      <w:r w:rsidRPr="007F773D">
        <w:t xml:space="preserve">θα διευκολύνει </w:t>
      </w:r>
      <w:r w:rsidRPr="007F773D">
        <w:rPr>
          <w:b/>
        </w:rPr>
        <w:t xml:space="preserve">την </w:t>
      </w:r>
      <w:proofErr w:type="spellStart"/>
      <w:r w:rsidRPr="007F773D">
        <w:rPr>
          <w:b/>
        </w:rPr>
        <w:t>κοινοχρησία</w:t>
      </w:r>
      <w:proofErr w:type="spellEnd"/>
      <w:r w:rsidRPr="007F773D">
        <w:rPr>
          <w:b/>
        </w:rPr>
        <w:t xml:space="preserve"> δεδομένων από διάφορες πηγές</w:t>
      </w:r>
      <w:r w:rsidRPr="007F773D">
        <w:t>, όπως οι επιχειρήσεις, οι τοπικές αρχές και η ακαδημαϊκή κοινότητα, φέρνοντας σε επαφή το κοινό και άλλα ενδιαφερόμενα μέρη ώστε να διαμορφωθούν τα βασικά χαρακτηριστικά του χώρου δεδομένων.</w:t>
      </w:r>
      <w:r>
        <w:t xml:space="preserve"> </w:t>
      </w:r>
      <w:r w:rsidRPr="00747608">
        <w:t>Για παράδειγμα, τα δεδομένα σχετικά με την κατανάλωση ενέργειας από ξενοδοχειακές μονάδες</w:t>
      </w:r>
      <w:r w:rsidRPr="007F773D">
        <w:t xml:space="preserve"> </w:t>
      </w:r>
      <w:r w:rsidRPr="00747608">
        <w:t>μπορούν να συμβάλουν στην παρακολούθηση των περιβαλλοντικών επιπτώσεων που έχει ο</w:t>
      </w:r>
      <w:r w:rsidRPr="007F773D">
        <w:t xml:space="preserve"> </w:t>
      </w:r>
      <w:r w:rsidRPr="00747608">
        <w:t>τουρισμός σε έναν συγκεκριμένο προορισμό.</w:t>
      </w:r>
    </w:p>
    <w:p w14:paraId="08BE9102" w14:textId="77777777" w:rsidR="006278C0" w:rsidRPr="000C7A93" w:rsidRDefault="006278C0" w:rsidP="00041AB4">
      <w:pPr>
        <w:pStyle w:val="af0"/>
        <w:numPr>
          <w:ilvl w:val="0"/>
          <w:numId w:val="40"/>
        </w:numPr>
      </w:pPr>
      <w:r w:rsidRPr="000C7A93">
        <w:t xml:space="preserve">θα προωθήσει την πρόσβαση σε δεδομένα από ένα </w:t>
      </w:r>
      <w:r w:rsidRPr="000C7A93">
        <w:rPr>
          <w:b/>
        </w:rPr>
        <w:t>ευρύ φάσμα χρηστών</w:t>
      </w:r>
      <w:r w:rsidRPr="000C7A93">
        <w:t xml:space="preserve">, μεταξύ άλλων των επιχειρηματικών διαμεσολαβητών, των διαχειριστών προορισμού, των </w:t>
      </w:r>
      <w:proofErr w:type="spellStart"/>
      <w:r w:rsidRPr="000C7A93">
        <w:t>παρόχων</w:t>
      </w:r>
      <w:proofErr w:type="spellEnd"/>
      <w:r w:rsidRPr="000C7A93">
        <w:t xml:space="preserve"> τουριστικών υπηρεσιών και άλλων. </w:t>
      </w:r>
      <w:r w:rsidRPr="007F773D">
        <w:t>Για παράδειγμα, μια νεοφυής επιχείρηση που προσφέρει τουριστικές υπηρεσίες βασιζόμενες στην ΤΝ θα είναι σε θέση να χρησιμοποιεί καταλληλότερα δεδομένα.</w:t>
      </w:r>
      <w:r>
        <w:t xml:space="preserve"> </w:t>
      </w:r>
      <w:r w:rsidRPr="00747608">
        <w:t>Ένας ταξιδιωτικός πράκτορας θα έχει καλύτερη εικόνα των προσφορών σε πόλεις, περιοχές και</w:t>
      </w:r>
      <w:r w:rsidRPr="007F773D">
        <w:t xml:space="preserve"> </w:t>
      </w:r>
      <w:r w:rsidRPr="00747608">
        <w:t xml:space="preserve">σύνορα. </w:t>
      </w:r>
      <w:r w:rsidRPr="000C7A93">
        <w:t>Μια τοπική αρχή θα έχει περισσότερες πληροφορίες σχετικά με τις τουριστικές ροές. Έτσι, οι επιχειρήσεις, ιδίως οι μικρότερες, καθώς και οι τοπικές αρχές θα μπορούν να σχεδιάζουν, να αναβαθμίζουν και να προσαρμόζουν τις παρεχόμενες υπηρεσίες τους αλλά και να κατευθύνουν τις αποφάσεις που παίρνουν για τη βιωσιμότητα της τουριστικής τους προσφοράς.</w:t>
      </w:r>
    </w:p>
    <w:p w14:paraId="11CDAFE7" w14:textId="77777777" w:rsidR="006278C0" w:rsidRPr="000C7A93" w:rsidRDefault="006278C0" w:rsidP="00041AB4">
      <w:pPr>
        <w:pStyle w:val="af0"/>
        <w:numPr>
          <w:ilvl w:val="0"/>
          <w:numId w:val="40"/>
        </w:numPr>
      </w:pPr>
      <w:r w:rsidRPr="000C7A93">
        <w:t xml:space="preserve">θα προωθήσει ένα </w:t>
      </w:r>
      <w:r w:rsidRPr="000C7A93">
        <w:rPr>
          <w:b/>
        </w:rPr>
        <w:t xml:space="preserve">συνεκτικό, αξιόπιστο και αποτελεσματικό πλαίσιο για τη διακυβέρνησή </w:t>
      </w:r>
      <w:r w:rsidRPr="000C7A93">
        <w:t xml:space="preserve">του, με βάση τον σεβασμό της ισχύουσας </w:t>
      </w:r>
      <w:proofErr w:type="spellStart"/>
      <w:r w:rsidRPr="000C7A93">
        <w:t>ενωσιακής</w:t>
      </w:r>
      <w:proofErr w:type="spellEnd"/>
      <w:r w:rsidRPr="000C7A93">
        <w:t xml:space="preserve"> και εθνικής νομοθεσίας για τα δεδομένα, καθώς και των κοινών προτύπων που καθορίζονται σε επίπεδο ΕΕ. Θα διασφαλίσει ένα μοντέλο διακυβέρνησης δεδομένων που θα αναπτυχθεί από όλα τα ενδιαφερόμενα μέρη του τουριστικού οικοσυστήματος: τα κράτη μέλη, τις τοπικές και περιφερειακές αρχές και τον ιδιωτικό τομέα, καθώς και τα θεσμικά όργανα της ΕΕ, με τη στήριξη της χρηματοδότησης της ΕΕ.</w:t>
      </w:r>
    </w:p>
    <w:p w14:paraId="1AE1F0E9" w14:textId="77777777" w:rsidR="006278C0" w:rsidRDefault="006278C0" w:rsidP="00041AB4">
      <w:pPr>
        <w:pStyle w:val="af0"/>
        <w:numPr>
          <w:ilvl w:val="0"/>
          <w:numId w:val="40"/>
        </w:numPr>
      </w:pPr>
      <w:r w:rsidRPr="000C7A93">
        <w:lastRenderedPageBreak/>
        <w:t xml:space="preserve">θα διασφαλίσει </w:t>
      </w:r>
      <w:r w:rsidRPr="000C7A93">
        <w:rPr>
          <w:b/>
        </w:rPr>
        <w:t xml:space="preserve">τη </w:t>
      </w:r>
      <w:proofErr w:type="spellStart"/>
      <w:r w:rsidRPr="000C7A93">
        <w:rPr>
          <w:b/>
        </w:rPr>
        <w:t>διαλειτουργικότητα</w:t>
      </w:r>
      <w:proofErr w:type="spellEnd"/>
      <w:r w:rsidRPr="000C7A93">
        <w:rPr>
          <w:b/>
        </w:rPr>
        <w:t xml:space="preserve"> μεταξύ τομέων δεδομένων</w:t>
      </w:r>
      <w:r w:rsidRPr="000C7A93">
        <w:t>, καθώς και μεταξύ των χώρων τομεακών δεδομένων, όπως οι κοινοί ευρωπαϊκοί χώροι δεδομένων για την κινητικότητα· την ενέργεια· το περιβάλλον· την υγεία· τις έξυπνες κοινότητες· την πολιτιστική κληρονομιά και άλλους τομείς που συνδέονται σαφώς με την τουριστική εμπειρία.</w:t>
      </w:r>
    </w:p>
    <w:p w14:paraId="402C77C8" w14:textId="77777777" w:rsidR="00041AB4" w:rsidRPr="000C7A93" w:rsidRDefault="00041AB4" w:rsidP="00041AB4">
      <w:pPr>
        <w:pStyle w:val="af0"/>
        <w:ind w:left="720"/>
      </w:pPr>
    </w:p>
    <w:p w14:paraId="68E3D2C3" w14:textId="77777777" w:rsidR="006278C0" w:rsidRPr="00003728" w:rsidRDefault="006278C0" w:rsidP="00041AB4">
      <w:pPr>
        <w:pStyle w:val="af0"/>
        <w:rPr>
          <w:b/>
          <w:bCs w:val="0"/>
          <w:color w:val="0070C0"/>
        </w:rPr>
      </w:pPr>
      <w:r w:rsidRPr="00003728">
        <w:rPr>
          <w:b/>
          <w:bCs w:val="0"/>
          <w:color w:val="0070C0"/>
        </w:rPr>
        <w:t>Επόμενα βήματα</w:t>
      </w:r>
    </w:p>
    <w:p w14:paraId="071984EB" w14:textId="77777777" w:rsidR="006278C0" w:rsidRDefault="006278C0" w:rsidP="00041AB4">
      <w:pPr>
        <w:pStyle w:val="af0"/>
      </w:pPr>
      <w:r w:rsidRPr="00747608">
        <w:t xml:space="preserve">Η ανακοίνωση </w:t>
      </w:r>
      <w:r>
        <w:t xml:space="preserve">της Επιτροπής </w:t>
      </w:r>
      <w:r w:rsidRPr="00747608">
        <w:t xml:space="preserve">παρουσιάζει τους βασικούς παράγοντες διευκόλυνσης ενός χώρου δεδομένων για τον τουρισμό. Επίσης, εξηγεί την ανάγκη σταδιακής δημιουργίας του, προκειμένου να ληφθούν υπόψη όλες οι απαιτήσεις των ενδιαφερόμενων μερών και η διαδικασία να ευθυγραμμιστεί με τη δημιουργία άλλων χώρων τομεακών δεδομένων, ούτως ώστε να εξασφαλιστεί η </w:t>
      </w:r>
      <w:proofErr w:type="spellStart"/>
      <w:r w:rsidRPr="00747608">
        <w:rPr>
          <w:b/>
        </w:rPr>
        <w:t>διαλειτουργικότητα</w:t>
      </w:r>
      <w:proofErr w:type="spellEnd"/>
      <w:r w:rsidRPr="007F773D">
        <w:rPr>
          <w:b/>
        </w:rPr>
        <w:t xml:space="preserve"> </w:t>
      </w:r>
      <w:r w:rsidRPr="00747608">
        <w:rPr>
          <w:b/>
        </w:rPr>
        <w:t>μεταξύ των τομεακών δεδομένων</w:t>
      </w:r>
      <w:r w:rsidRPr="00747608">
        <w:t xml:space="preserve">. Οι δράσεις συντονισμού και στήριξης στο πλαίσιο του προγράμματος «Ψηφιακή Ευρώπη» θα παράσχουν ένα </w:t>
      </w:r>
      <w:r w:rsidRPr="00747608">
        <w:rPr>
          <w:b/>
        </w:rPr>
        <w:t>σχέδιο στρατηγικής</w:t>
      </w:r>
      <w:r w:rsidRPr="00747608">
        <w:t xml:space="preserve"> για τη δημιουργία του χώρου δεδομένων έως το τέλος του 2023.</w:t>
      </w:r>
    </w:p>
    <w:p w14:paraId="400FABDD" w14:textId="77777777" w:rsidR="00041AB4" w:rsidRPr="00747608" w:rsidRDefault="00041AB4" w:rsidP="00041AB4">
      <w:pPr>
        <w:pStyle w:val="af0"/>
      </w:pPr>
    </w:p>
    <w:p w14:paraId="790CEB6E" w14:textId="77777777" w:rsidR="006278C0" w:rsidRPr="00003728" w:rsidRDefault="006278C0" w:rsidP="00041AB4">
      <w:pPr>
        <w:pStyle w:val="af0"/>
        <w:rPr>
          <w:b/>
          <w:bCs w:val="0"/>
          <w:color w:val="0070C0"/>
        </w:rPr>
      </w:pPr>
      <w:r w:rsidRPr="00003728">
        <w:rPr>
          <w:b/>
          <w:bCs w:val="0"/>
          <w:color w:val="0070C0"/>
        </w:rPr>
        <w:t>Ιστορικό</w:t>
      </w:r>
    </w:p>
    <w:p w14:paraId="7FB0E6C6" w14:textId="77777777" w:rsidR="006278C0" w:rsidRPr="00747608" w:rsidRDefault="006278C0" w:rsidP="00041AB4">
      <w:pPr>
        <w:pStyle w:val="af0"/>
      </w:pPr>
      <w:r w:rsidRPr="00747608">
        <w:t xml:space="preserve">Τα κράτη μέλη, οι περιφερειακές και τοπικές αρχές και ο ιδιωτικός τομέας συλλέγουν δεδομένα, με τα οποία διαμορφώνουν μοντέλα σύμφωνα με τα δικά τους πρότυπα και ανάγκες. Τα δεδομένα που συλλέγονται σε διάφορα οικοσυστήματα είναι επίσης σημαντικά για τον τουρισμό. Σε επίπεδο ΕΕ, η </w:t>
      </w:r>
      <w:proofErr w:type="spellStart"/>
      <w:r w:rsidRPr="00747608">
        <w:t>Eurostat</w:t>
      </w:r>
      <w:proofErr w:type="spellEnd"/>
      <w:r w:rsidRPr="00747608">
        <w:t xml:space="preserve"> έχει συνάψει </w:t>
      </w:r>
      <w:r w:rsidRPr="00747608">
        <w:rPr>
          <w:b/>
        </w:rPr>
        <w:t xml:space="preserve">συμφωνία για την </w:t>
      </w:r>
      <w:proofErr w:type="spellStart"/>
      <w:r w:rsidRPr="00747608">
        <w:rPr>
          <w:b/>
        </w:rPr>
        <w:t>κοινοχρησία</w:t>
      </w:r>
      <w:proofErr w:type="spellEnd"/>
      <w:r w:rsidRPr="00747608">
        <w:rPr>
          <w:b/>
        </w:rPr>
        <w:t xml:space="preserve"> δεδομένων στέγασης με τον ιδιωτικό τομέα</w:t>
      </w:r>
      <w:r w:rsidRPr="00747608">
        <w:t xml:space="preserve">, σε εθελοντική βάση· και το Κοινό Κέντρο Ερευνών της Ευρωπαϊκής Επιτροπής ανέπτυξε, το 2021, τον </w:t>
      </w:r>
      <w:r w:rsidRPr="00747608">
        <w:rPr>
          <w:b/>
        </w:rPr>
        <w:t>πίνακα δεικτών της ΕΕ για τον τουρισμό ως εργαλείο</w:t>
      </w:r>
      <w:r w:rsidRPr="00747608">
        <w:t xml:space="preserve"> για την παρακολούθηση της πράσινης και της ψηφιακής μετάβασης και της ανθεκτικότητας του τουριστικού οικοσυστήματος.</w:t>
      </w:r>
    </w:p>
    <w:p w14:paraId="40923809" w14:textId="77777777" w:rsidR="006278C0" w:rsidRPr="00747608" w:rsidRDefault="006278C0" w:rsidP="00041AB4">
      <w:pPr>
        <w:pStyle w:val="af0"/>
      </w:pPr>
      <w:r w:rsidRPr="00747608">
        <w:t xml:space="preserve">Η ευρωπαϊκή στρατηγική για τα δεδομένα δημιούργησε κοινούς ευρωπαϊκούς χώρους δεδομένων σε βασικούς οικονομικούς τομείς και σε τομείς δημόσιου συμφέροντος ως βασικές εξελίξεις πολιτικής που θα τροφοδοτούν τόσο τον δημόσιο όσο και τον ιδιωτικό τομέα με κατάλληλα δεδομένα, προς όφελος της ευρωπαϊκής οικονομίας και κοινωνίας. Στα συμπεράσματα της 25ης Μαρτίου 2021, το Συμβούλιο υποστήριξε την ανάπτυξη των χώρων δεδομένων. Στο πλαίσιο αυτό, η ανακοίνωση της Επιτροπής του Ιουνίου του 2022 σχετικά με τη διάσκεψη για το μέλλον της ΕΕ ανέφερε τους χώρους δεδομένων τόσο για τον τουρισμό όσο και για την κινητικότητα ως «νέους τομείς δράσης που πρέπει να εξεταστούν» ώστε η ΕΕ να ενστερνιστεί </w:t>
      </w:r>
      <w:r w:rsidRPr="00747608">
        <w:rPr>
          <w:b/>
        </w:rPr>
        <w:t>έναν ψηφιακό μετασχηματισμό</w:t>
      </w:r>
      <w:r w:rsidRPr="00747608">
        <w:t>. Η πορεία μετάβασης για τον τουρισμό εισήγαγε την ανάγκη «τεχνικής εφαρμογής του χώρου δεδομένων για τον τουρισμό». Η πορεία μετάβασης για τον τουρισμό εφαρμόζεται επί του παρόντος από κοινού με τα βασικά ενδιαφερόμενα μέρη.</w:t>
      </w:r>
    </w:p>
    <w:p w14:paraId="447C7FB8" w14:textId="77777777" w:rsidR="006278C0" w:rsidRPr="00747608" w:rsidRDefault="006278C0" w:rsidP="00041AB4">
      <w:pPr>
        <w:pStyle w:val="af0"/>
      </w:pPr>
      <w:r w:rsidRPr="00747608">
        <w:lastRenderedPageBreak/>
        <w:t xml:space="preserve">Το </w:t>
      </w:r>
      <w:r w:rsidRPr="00747608">
        <w:rPr>
          <w:b/>
        </w:rPr>
        <w:t>ευρωπαϊκό θεματολόγιο για τον τουρισμό</w:t>
      </w:r>
      <w:r w:rsidRPr="00747608">
        <w:t xml:space="preserve"> με ορίζοντα το 2030, το οποίο εγκρίθηκε από το Συμβούλιο της Ευρωπαϊκής Ένωσης τον Δεκέμβριο του 2022, απηύθυνε επίσης έκκληση για την εφαρμογή πρακτικών ανταλλαγής δεδομένων στον τομέα του τουρισμού. Το θεματολόγιο βασίζεται στην </w:t>
      </w:r>
      <w:r w:rsidRPr="00747608">
        <w:rPr>
          <w:b/>
        </w:rPr>
        <w:t>πορεία μετάβασης</w:t>
      </w:r>
      <w:r w:rsidRPr="00747608">
        <w:t xml:space="preserve"> της Επιτροπής για τον τουρισμό και περιλαμβάνει ένα </w:t>
      </w:r>
      <w:r w:rsidRPr="00747608">
        <w:rPr>
          <w:b/>
        </w:rPr>
        <w:t>πρόγραμμα με δράσεις</w:t>
      </w:r>
      <w:r w:rsidRPr="00747608">
        <w:t xml:space="preserve"> που πρέπει να αναληφθούν από τις χώρες της ΕΕ, την Επιτροπή, καθώς και το τουριστικό οικοσύστημα.</w:t>
      </w:r>
    </w:p>
    <w:p w14:paraId="197A825D" w14:textId="77777777" w:rsidR="006278C0" w:rsidRPr="003D3219" w:rsidRDefault="006278C0" w:rsidP="00003728">
      <w:pPr>
        <w:pStyle w:val="af0"/>
        <w:jc w:val="center"/>
        <w:rPr>
          <w:rFonts w:eastAsia="Times New Roman"/>
          <w:b/>
          <w:lang w:eastAsia="el-GR"/>
        </w:rPr>
      </w:pPr>
    </w:p>
    <w:sectPr w:rsidR="006278C0" w:rsidRPr="003D3219"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8C87" w14:textId="77777777" w:rsidR="00D705AA" w:rsidRDefault="00D705AA" w:rsidP="00B35B16">
      <w:pPr>
        <w:spacing w:after="0" w:line="240" w:lineRule="auto"/>
      </w:pPr>
      <w:r>
        <w:separator/>
      </w:r>
    </w:p>
    <w:p w14:paraId="078791F1" w14:textId="77777777" w:rsidR="00C01F6B" w:rsidRDefault="00C01F6B"/>
  </w:endnote>
  <w:endnote w:type="continuationSeparator" w:id="0">
    <w:p w14:paraId="15FEC8F5" w14:textId="77777777" w:rsidR="00D705AA" w:rsidRDefault="00D705AA" w:rsidP="00B35B16">
      <w:pPr>
        <w:spacing w:after="0" w:line="240" w:lineRule="auto"/>
      </w:pPr>
      <w:r>
        <w:continuationSeparator/>
      </w:r>
    </w:p>
    <w:p w14:paraId="2157F221" w14:textId="77777777" w:rsidR="00C01F6B" w:rsidRDefault="00C0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041AB4">
      <w:fldChar w:fldCharType="begin"/>
    </w:r>
    <w:r w:rsidR="00041AB4" w:rsidRPr="00041AB4">
      <w:rPr>
        <w:lang w:val="en-US"/>
      </w:rPr>
      <w:instrText>HYPERLINK "http://www.uhc.gr"</w:instrText>
    </w:r>
    <w:r w:rsidR="00041AB4">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041AB4">
      <w:rPr>
        <w:rFonts w:ascii="Times New Roman" w:eastAsia="Times New Roman" w:hAnsi="Times New Roman" w:cs="Times New Roman"/>
        <w:b/>
        <w:bCs/>
        <w:color w:val="0000FF"/>
        <w:sz w:val="20"/>
        <w:szCs w:val="20"/>
        <w:u w:val="single"/>
        <w:lang w:val="de-DE"/>
      </w:rPr>
      <w:fldChar w:fldCharType="end"/>
    </w:r>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041AB4">
      <w:fldChar w:fldCharType="begin"/>
    </w:r>
    <w:r w:rsidR="00041AB4" w:rsidRPr="00041AB4">
      <w:rPr>
        <w:lang w:val="en-US"/>
      </w:rPr>
      <w:instrText>HYPERLINK "http://www.uhc.gr"</w:instrText>
    </w:r>
    <w:r w:rsidR="00041AB4">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041AB4">
      <w:rPr>
        <w:rFonts w:ascii="Times New Roman" w:eastAsia="Times New Roman" w:hAnsi="Times New Roman" w:cs="Times New Roman"/>
        <w:b/>
        <w:bCs/>
        <w:color w:val="0000FF"/>
        <w:sz w:val="20"/>
        <w:szCs w:val="20"/>
        <w:u w:val="single"/>
        <w:lang w:val="de-DE"/>
      </w:rPr>
      <w:fldChar w:fldCharType="end"/>
    </w:r>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A6A7" w14:textId="77777777" w:rsidR="00D705AA" w:rsidRDefault="00D705AA" w:rsidP="00B35B16">
      <w:pPr>
        <w:spacing w:after="0" w:line="240" w:lineRule="auto"/>
      </w:pPr>
      <w:r>
        <w:separator/>
      </w:r>
    </w:p>
    <w:p w14:paraId="30660E0B" w14:textId="77777777" w:rsidR="00C01F6B" w:rsidRDefault="00C01F6B"/>
  </w:footnote>
  <w:footnote w:type="continuationSeparator" w:id="0">
    <w:p w14:paraId="111034BB" w14:textId="77777777" w:rsidR="00D705AA" w:rsidRDefault="00D705AA" w:rsidP="00B35B16">
      <w:pPr>
        <w:spacing w:after="0" w:line="240" w:lineRule="auto"/>
      </w:pPr>
      <w:r>
        <w:continuationSeparator/>
      </w:r>
    </w:p>
    <w:p w14:paraId="14C2EBA8" w14:textId="77777777" w:rsidR="00C01F6B" w:rsidRDefault="00C01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B5B6" w14:textId="7CA2D686"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B25" w14:textId="77777777"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0B968E6"/>
    <w:multiLevelType w:val="hybridMultilevel"/>
    <w:tmpl w:val="A67A4738"/>
    <w:lvl w:ilvl="0" w:tplc="80D288D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3" w15:restartNumberingAfterBreak="0">
    <w:nsid w:val="0D104CB1"/>
    <w:multiLevelType w:val="hybridMultilevel"/>
    <w:tmpl w:val="EC7CD4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7E711D"/>
    <w:multiLevelType w:val="hybridMultilevel"/>
    <w:tmpl w:val="5E3C8E50"/>
    <w:lvl w:ilvl="0" w:tplc="161EE718">
      <w:numFmt w:val="bullet"/>
      <w:lvlText w:val=""/>
      <w:lvlJc w:val="left"/>
      <w:pPr>
        <w:ind w:left="980" w:hanging="360"/>
      </w:pPr>
      <w:rPr>
        <w:rFonts w:ascii="Wingdings" w:eastAsia="Wingdings" w:hAnsi="Wingdings" w:cs="Wingdings" w:hint="default"/>
        <w:w w:val="100"/>
        <w:sz w:val="22"/>
        <w:szCs w:val="22"/>
        <w:lang w:val="el-GR" w:eastAsia="en-US" w:bidi="ar-SA"/>
      </w:rPr>
    </w:lvl>
    <w:lvl w:ilvl="1" w:tplc="2DD21FAE">
      <w:numFmt w:val="bullet"/>
      <w:lvlText w:val="•"/>
      <w:lvlJc w:val="left"/>
      <w:pPr>
        <w:ind w:left="1750" w:hanging="360"/>
      </w:pPr>
      <w:rPr>
        <w:lang w:val="el-GR" w:eastAsia="en-US" w:bidi="ar-SA"/>
      </w:rPr>
    </w:lvl>
    <w:lvl w:ilvl="2" w:tplc="A8287F24">
      <w:numFmt w:val="bullet"/>
      <w:lvlText w:val="•"/>
      <w:lvlJc w:val="left"/>
      <w:pPr>
        <w:ind w:left="2521" w:hanging="360"/>
      </w:pPr>
      <w:rPr>
        <w:lang w:val="el-GR" w:eastAsia="en-US" w:bidi="ar-SA"/>
      </w:rPr>
    </w:lvl>
    <w:lvl w:ilvl="3" w:tplc="217AB37E">
      <w:numFmt w:val="bullet"/>
      <w:lvlText w:val="•"/>
      <w:lvlJc w:val="left"/>
      <w:pPr>
        <w:ind w:left="3291" w:hanging="360"/>
      </w:pPr>
      <w:rPr>
        <w:lang w:val="el-GR" w:eastAsia="en-US" w:bidi="ar-SA"/>
      </w:rPr>
    </w:lvl>
    <w:lvl w:ilvl="4" w:tplc="8498595C">
      <w:numFmt w:val="bullet"/>
      <w:lvlText w:val="•"/>
      <w:lvlJc w:val="left"/>
      <w:pPr>
        <w:ind w:left="4062" w:hanging="360"/>
      </w:pPr>
      <w:rPr>
        <w:lang w:val="el-GR" w:eastAsia="en-US" w:bidi="ar-SA"/>
      </w:rPr>
    </w:lvl>
    <w:lvl w:ilvl="5" w:tplc="9C82B69C">
      <w:numFmt w:val="bullet"/>
      <w:lvlText w:val="•"/>
      <w:lvlJc w:val="left"/>
      <w:pPr>
        <w:ind w:left="4833" w:hanging="360"/>
      </w:pPr>
      <w:rPr>
        <w:lang w:val="el-GR" w:eastAsia="en-US" w:bidi="ar-SA"/>
      </w:rPr>
    </w:lvl>
    <w:lvl w:ilvl="6" w:tplc="0DA61772">
      <w:numFmt w:val="bullet"/>
      <w:lvlText w:val="•"/>
      <w:lvlJc w:val="left"/>
      <w:pPr>
        <w:ind w:left="5603" w:hanging="360"/>
      </w:pPr>
      <w:rPr>
        <w:lang w:val="el-GR" w:eastAsia="en-US" w:bidi="ar-SA"/>
      </w:rPr>
    </w:lvl>
    <w:lvl w:ilvl="7" w:tplc="DBCA919E">
      <w:numFmt w:val="bullet"/>
      <w:lvlText w:val="•"/>
      <w:lvlJc w:val="left"/>
      <w:pPr>
        <w:ind w:left="6374" w:hanging="360"/>
      </w:pPr>
      <w:rPr>
        <w:lang w:val="el-GR" w:eastAsia="en-US" w:bidi="ar-SA"/>
      </w:rPr>
    </w:lvl>
    <w:lvl w:ilvl="8" w:tplc="FAD08E3A">
      <w:numFmt w:val="bullet"/>
      <w:lvlText w:val="•"/>
      <w:lvlJc w:val="left"/>
      <w:pPr>
        <w:ind w:left="7145" w:hanging="360"/>
      </w:pPr>
      <w:rPr>
        <w:lang w:val="el-GR" w:eastAsia="en-US" w:bidi="ar-SA"/>
      </w:rPr>
    </w:lvl>
  </w:abstractNum>
  <w:abstractNum w:abstractNumId="6" w15:restartNumberingAfterBreak="0">
    <w:nsid w:val="14443A73"/>
    <w:multiLevelType w:val="hybridMultilevel"/>
    <w:tmpl w:val="F7C033AC"/>
    <w:lvl w:ilvl="0" w:tplc="04080001">
      <w:start w:val="1"/>
      <w:numFmt w:val="bullet"/>
      <w:lvlText w:val=""/>
      <w:lvlJc w:val="left"/>
      <w:pPr>
        <w:ind w:left="1190" w:hanging="360"/>
      </w:pPr>
      <w:rPr>
        <w:rFonts w:ascii="Symbol" w:hAnsi="Symbol" w:hint="default"/>
      </w:rPr>
    </w:lvl>
    <w:lvl w:ilvl="1" w:tplc="04080003" w:tentative="1">
      <w:start w:val="1"/>
      <w:numFmt w:val="bullet"/>
      <w:lvlText w:val="o"/>
      <w:lvlJc w:val="left"/>
      <w:pPr>
        <w:ind w:left="1910" w:hanging="360"/>
      </w:pPr>
      <w:rPr>
        <w:rFonts w:ascii="Courier New" w:hAnsi="Courier New" w:cs="Courier New" w:hint="default"/>
      </w:rPr>
    </w:lvl>
    <w:lvl w:ilvl="2" w:tplc="04080005" w:tentative="1">
      <w:start w:val="1"/>
      <w:numFmt w:val="bullet"/>
      <w:lvlText w:val=""/>
      <w:lvlJc w:val="left"/>
      <w:pPr>
        <w:ind w:left="2630" w:hanging="360"/>
      </w:pPr>
      <w:rPr>
        <w:rFonts w:ascii="Wingdings" w:hAnsi="Wingdings" w:hint="default"/>
      </w:rPr>
    </w:lvl>
    <w:lvl w:ilvl="3" w:tplc="04080001" w:tentative="1">
      <w:start w:val="1"/>
      <w:numFmt w:val="bullet"/>
      <w:lvlText w:val=""/>
      <w:lvlJc w:val="left"/>
      <w:pPr>
        <w:ind w:left="3350" w:hanging="360"/>
      </w:pPr>
      <w:rPr>
        <w:rFonts w:ascii="Symbol" w:hAnsi="Symbol" w:hint="default"/>
      </w:rPr>
    </w:lvl>
    <w:lvl w:ilvl="4" w:tplc="04080003" w:tentative="1">
      <w:start w:val="1"/>
      <w:numFmt w:val="bullet"/>
      <w:lvlText w:val="o"/>
      <w:lvlJc w:val="left"/>
      <w:pPr>
        <w:ind w:left="4070" w:hanging="360"/>
      </w:pPr>
      <w:rPr>
        <w:rFonts w:ascii="Courier New" w:hAnsi="Courier New" w:cs="Courier New" w:hint="default"/>
      </w:rPr>
    </w:lvl>
    <w:lvl w:ilvl="5" w:tplc="04080005" w:tentative="1">
      <w:start w:val="1"/>
      <w:numFmt w:val="bullet"/>
      <w:lvlText w:val=""/>
      <w:lvlJc w:val="left"/>
      <w:pPr>
        <w:ind w:left="4790" w:hanging="360"/>
      </w:pPr>
      <w:rPr>
        <w:rFonts w:ascii="Wingdings" w:hAnsi="Wingdings" w:hint="default"/>
      </w:rPr>
    </w:lvl>
    <w:lvl w:ilvl="6" w:tplc="04080001" w:tentative="1">
      <w:start w:val="1"/>
      <w:numFmt w:val="bullet"/>
      <w:lvlText w:val=""/>
      <w:lvlJc w:val="left"/>
      <w:pPr>
        <w:ind w:left="5510" w:hanging="360"/>
      </w:pPr>
      <w:rPr>
        <w:rFonts w:ascii="Symbol" w:hAnsi="Symbol" w:hint="default"/>
      </w:rPr>
    </w:lvl>
    <w:lvl w:ilvl="7" w:tplc="04080003" w:tentative="1">
      <w:start w:val="1"/>
      <w:numFmt w:val="bullet"/>
      <w:lvlText w:val="o"/>
      <w:lvlJc w:val="left"/>
      <w:pPr>
        <w:ind w:left="6230" w:hanging="360"/>
      </w:pPr>
      <w:rPr>
        <w:rFonts w:ascii="Courier New" w:hAnsi="Courier New" w:cs="Courier New" w:hint="default"/>
      </w:rPr>
    </w:lvl>
    <w:lvl w:ilvl="8" w:tplc="04080005" w:tentative="1">
      <w:start w:val="1"/>
      <w:numFmt w:val="bullet"/>
      <w:lvlText w:val=""/>
      <w:lvlJc w:val="left"/>
      <w:pPr>
        <w:ind w:left="6950" w:hanging="360"/>
      </w:pPr>
      <w:rPr>
        <w:rFonts w:ascii="Wingdings" w:hAnsi="Wingdings" w:hint="default"/>
      </w:rPr>
    </w:lvl>
  </w:abstractNum>
  <w:abstractNum w:abstractNumId="7"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EF5DCE"/>
    <w:multiLevelType w:val="hybridMultilevel"/>
    <w:tmpl w:val="D12E7FF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F32043B"/>
    <w:multiLevelType w:val="hybridMultilevel"/>
    <w:tmpl w:val="EA929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F3F651D"/>
    <w:multiLevelType w:val="hybridMultilevel"/>
    <w:tmpl w:val="2630751E"/>
    <w:lvl w:ilvl="0" w:tplc="B35C7670">
      <w:start w:val="1"/>
      <w:numFmt w:val="decimal"/>
      <w:lvlText w:val="%1."/>
      <w:lvlJc w:val="left"/>
      <w:pPr>
        <w:ind w:left="470" w:hanging="360"/>
      </w:pPr>
      <w:rPr>
        <w:rFonts w:hint="default"/>
      </w:rPr>
    </w:lvl>
    <w:lvl w:ilvl="1" w:tplc="04080019" w:tentative="1">
      <w:start w:val="1"/>
      <w:numFmt w:val="lowerLetter"/>
      <w:lvlText w:val="%2."/>
      <w:lvlJc w:val="left"/>
      <w:pPr>
        <w:ind w:left="1190" w:hanging="360"/>
      </w:pPr>
    </w:lvl>
    <w:lvl w:ilvl="2" w:tplc="0408001B" w:tentative="1">
      <w:start w:val="1"/>
      <w:numFmt w:val="lowerRoman"/>
      <w:lvlText w:val="%3."/>
      <w:lvlJc w:val="right"/>
      <w:pPr>
        <w:ind w:left="1910" w:hanging="180"/>
      </w:pPr>
    </w:lvl>
    <w:lvl w:ilvl="3" w:tplc="0408000F" w:tentative="1">
      <w:start w:val="1"/>
      <w:numFmt w:val="decimal"/>
      <w:lvlText w:val="%4."/>
      <w:lvlJc w:val="left"/>
      <w:pPr>
        <w:ind w:left="2630" w:hanging="360"/>
      </w:pPr>
    </w:lvl>
    <w:lvl w:ilvl="4" w:tplc="04080019" w:tentative="1">
      <w:start w:val="1"/>
      <w:numFmt w:val="lowerLetter"/>
      <w:lvlText w:val="%5."/>
      <w:lvlJc w:val="left"/>
      <w:pPr>
        <w:ind w:left="3350" w:hanging="360"/>
      </w:pPr>
    </w:lvl>
    <w:lvl w:ilvl="5" w:tplc="0408001B" w:tentative="1">
      <w:start w:val="1"/>
      <w:numFmt w:val="lowerRoman"/>
      <w:lvlText w:val="%6."/>
      <w:lvlJc w:val="right"/>
      <w:pPr>
        <w:ind w:left="4070" w:hanging="180"/>
      </w:pPr>
    </w:lvl>
    <w:lvl w:ilvl="6" w:tplc="0408000F" w:tentative="1">
      <w:start w:val="1"/>
      <w:numFmt w:val="decimal"/>
      <w:lvlText w:val="%7."/>
      <w:lvlJc w:val="left"/>
      <w:pPr>
        <w:ind w:left="4790" w:hanging="360"/>
      </w:pPr>
    </w:lvl>
    <w:lvl w:ilvl="7" w:tplc="04080019" w:tentative="1">
      <w:start w:val="1"/>
      <w:numFmt w:val="lowerLetter"/>
      <w:lvlText w:val="%8."/>
      <w:lvlJc w:val="left"/>
      <w:pPr>
        <w:ind w:left="5510" w:hanging="360"/>
      </w:pPr>
    </w:lvl>
    <w:lvl w:ilvl="8" w:tplc="0408001B" w:tentative="1">
      <w:start w:val="1"/>
      <w:numFmt w:val="lowerRoman"/>
      <w:lvlText w:val="%9."/>
      <w:lvlJc w:val="right"/>
      <w:pPr>
        <w:ind w:left="6230" w:hanging="180"/>
      </w:pPr>
    </w:lvl>
  </w:abstractNum>
  <w:abstractNum w:abstractNumId="11" w15:restartNumberingAfterBreak="0">
    <w:nsid w:val="22915866"/>
    <w:multiLevelType w:val="hybridMultilevel"/>
    <w:tmpl w:val="2666828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3" w15:restartNumberingAfterBreak="0">
    <w:nsid w:val="246040D3"/>
    <w:multiLevelType w:val="hybridMultilevel"/>
    <w:tmpl w:val="0ECC015C"/>
    <w:lvl w:ilvl="0" w:tplc="7E145A28">
      <w:numFmt w:val="bullet"/>
      <w:lvlText w:val="-"/>
      <w:lvlJc w:val="left"/>
      <w:pPr>
        <w:tabs>
          <w:tab w:val="num" w:pos="720"/>
        </w:tabs>
        <w:ind w:left="720" w:hanging="360"/>
      </w:pPr>
      <w:rPr>
        <w:rFonts w:ascii="Calibri" w:eastAsia="SimSun" w:hAnsi="Calibri" w:cs="Verdana" w:hint="default"/>
        <w:b/>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5262DC"/>
    <w:multiLevelType w:val="hybridMultilevel"/>
    <w:tmpl w:val="A7CA5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532586"/>
    <w:multiLevelType w:val="hybridMultilevel"/>
    <w:tmpl w:val="662C1E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2C2673E3"/>
    <w:multiLevelType w:val="hybridMultilevel"/>
    <w:tmpl w:val="5B067F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336E3921"/>
    <w:multiLevelType w:val="hybridMultilevel"/>
    <w:tmpl w:val="AC4A3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385D0DA8"/>
    <w:multiLevelType w:val="hybridMultilevel"/>
    <w:tmpl w:val="1354FF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38A427D3"/>
    <w:multiLevelType w:val="hybridMultilevel"/>
    <w:tmpl w:val="6FE2AFAA"/>
    <w:lvl w:ilvl="0" w:tplc="D3B2EF78">
      <w:start w:val="1"/>
      <w:numFmt w:val="bullet"/>
      <w:lvlText w:val="-"/>
      <w:lvlJc w:val="left"/>
      <w:pPr>
        <w:ind w:left="720" w:hanging="360"/>
      </w:pPr>
      <w:rPr>
        <w:rFonts w:ascii="Calibri" w:eastAsia="Times New Roman" w:hAnsi="Calibri" w:cs="Verdana" w:hint="default"/>
        <w:sz w:val="2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38F31377"/>
    <w:multiLevelType w:val="hybridMultilevel"/>
    <w:tmpl w:val="C1068FD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3A88289D"/>
    <w:multiLevelType w:val="hybridMultilevel"/>
    <w:tmpl w:val="527CE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25" w15:restartNumberingAfterBreak="0">
    <w:nsid w:val="4E6A6C35"/>
    <w:multiLevelType w:val="hybridMultilevel"/>
    <w:tmpl w:val="1E06510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FE663DE"/>
    <w:multiLevelType w:val="hybridMultilevel"/>
    <w:tmpl w:val="3DB6FA24"/>
    <w:lvl w:ilvl="0" w:tplc="911679A8">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15:restartNumberingAfterBreak="0">
    <w:nsid w:val="538F63A9"/>
    <w:multiLevelType w:val="hybridMultilevel"/>
    <w:tmpl w:val="4C1A079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6680D6E"/>
    <w:multiLevelType w:val="hybridMultilevel"/>
    <w:tmpl w:val="56B24A34"/>
    <w:lvl w:ilvl="0" w:tplc="DCB6F05C">
      <w:start w:val="1"/>
      <w:numFmt w:val="lowerRoman"/>
      <w:lvlText w:val="%1."/>
      <w:lvlJc w:val="left"/>
      <w:pPr>
        <w:ind w:left="1440" w:hanging="360"/>
      </w:pPr>
      <w:rPr>
        <w:rFonts w:hint="default"/>
      </w:r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29" w15:restartNumberingAfterBreak="0">
    <w:nsid w:val="5A8D136D"/>
    <w:multiLevelType w:val="hybridMultilevel"/>
    <w:tmpl w:val="46FCB0A8"/>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15:restartNumberingAfterBreak="0">
    <w:nsid w:val="5E2032DD"/>
    <w:multiLevelType w:val="hybridMultilevel"/>
    <w:tmpl w:val="2B04C6CC"/>
    <w:lvl w:ilvl="0" w:tplc="04080001">
      <w:start w:val="1"/>
      <w:numFmt w:val="bullet"/>
      <w:lvlText w:val=""/>
      <w:lvlJc w:val="left"/>
      <w:pPr>
        <w:tabs>
          <w:tab w:val="num" w:pos="770"/>
        </w:tabs>
        <w:ind w:left="770" w:hanging="360"/>
      </w:pPr>
      <w:rPr>
        <w:rFonts w:ascii="Symbol" w:hAnsi="Symbol" w:hint="default"/>
      </w:rPr>
    </w:lvl>
    <w:lvl w:ilvl="1" w:tplc="04080003">
      <w:start w:val="1"/>
      <w:numFmt w:val="bullet"/>
      <w:lvlText w:val="o"/>
      <w:lvlJc w:val="left"/>
      <w:pPr>
        <w:tabs>
          <w:tab w:val="num" w:pos="1490"/>
        </w:tabs>
        <w:ind w:left="1490" w:hanging="360"/>
      </w:pPr>
      <w:rPr>
        <w:rFonts w:ascii="Courier New" w:hAnsi="Courier New" w:cs="Courier New" w:hint="default"/>
      </w:rPr>
    </w:lvl>
    <w:lvl w:ilvl="2" w:tplc="04080005">
      <w:start w:val="1"/>
      <w:numFmt w:val="bullet"/>
      <w:lvlText w:val=""/>
      <w:lvlJc w:val="left"/>
      <w:pPr>
        <w:tabs>
          <w:tab w:val="num" w:pos="2210"/>
        </w:tabs>
        <w:ind w:left="2210" w:hanging="360"/>
      </w:pPr>
      <w:rPr>
        <w:rFonts w:ascii="Wingdings" w:hAnsi="Wingdings" w:hint="default"/>
      </w:rPr>
    </w:lvl>
    <w:lvl w:ilvl="3" w:tplc="04080001">
      <w:start w:val="1"/>
      <w:numFmt w:val="bullet"/>
      <w:lvlText w:val=""/>
      <w:lvlJc w:val="left"/>
      <w:pPr>
        <w:tabs>
          <w:tab w:val="num" w:pos="2930"/>
        </w:tabs>
        <w:ind w:left="2930" w:hanging="360"/>
      </w:pPr>
      <w:rPr>
        <w:rFonts w:ascii="Symbol" w:hAnsi="Symbol" w:hint="default"/>
      </w:rPr>
    </w:lvl>
    <w:lvl w:ilvl="4" w:tplc="04080003">
      <w:start w:val="1"/>
      <w:numFmt w:val="bullet"/>
      <w:lvlText w:val="o"/>
      <w:lvlJc w:val="left"/>
      <w:pPr>
        <w:tabs>
          <w:tab w:val="num" w:pos="3650"/>
        </w:tabs>
        <w:ind w:left="3650" w:hanging="360"/>
      </w:pPr>
      <w:rPr>
        <w:rFonts w:ascii="Courier New" w:hAnsi="Courier New" w:cs="Courier New" w:hint="default"/>
      </w:rPr>
    </w:lvl>
    <w:lvl w:ilvl="5" w:tplc="04080005">
      <w:start w:val="1"/>
      <w:numFmt w:val="bullet"/>
      <w:lvlText w:val=""/>
      <w:lvlJc w:val="left"/>
      <w:pPr>
        <w:tabs>
          <w:tab w:val="num" w:pos="4370"/>
        </w:tabs>
        <w:ind w:left="4370" w:hanging="360"/>
      </w:pPr>
      <w:rPr>
        <w:rFonts w:ascii="Wingdings" w:hAnsi="Wingdings" w:hint="default"/>
      </w:rPr>
    </w:lvl>
    <w:lvl w:ilvl="6" w:tplc="04080001">
      <w:start w:val="1"/>
      <w:numFmt w:val="bullet"/>
      <w:lvlText w:val=""/>
      <w:lvlJc w:val="left"/>
      <w:pPr>
        <w:tabs>
          <w:tab w:val="num" w:pos="5090"/>
        </w:tabs>
        <w:ind w:left="5090" w:hanging="360"/>
      </w:pPr>
      <w:rPr>
        <w:rFonts w:ascii="Symbol" w:hAnsi="Symbol" w:hint="default"/>
      </w:rPr>
    </w:lvl>
    <w:lvl w:ilvl="7" w:tplc="04080003">
      <w:start w:val="1"/>
      <w:numFmt w:val="bullet"/>
      <w:lvlText w:val="o"/>
      <w:lvlJc w:val="left"/>
      <w:pPr>
        <w:tabs>
          <w:tab w:val="num" w:pos="5810"/>
        </w:tabs>
        <w:ind w:left="5810" w:hanging="360"/>
      </w:pPr>
      <w:rPr>
        <w:rFonts w:ascii="Courier New" w:hAnsi="Courier New" w:cs="Courier New" w:hint="default"/>
      </w:rPr>
    </w:lvl>
    <w:lvl w:ilvl="8" w:tplc="04080005">
      <w:start w:val="1"/>
      <w:numFmt w:val="bullet"/>
      <w:lvlText w:val=""/>
      <w:lvlJc w:val="left"/>
      <w:pPr>
        <w:tabs>
          <w:tab w:val="num" w:pos="6530"/>
        </w:tabs>
        <w:ind w:left="6530" w:hanging="360"/>
      </w:pPr>
      <w:rPr>
        <w:rFonts w:ascii="Wingdings" w:hAnsi="Wingdings" w:hint="default"/>
      </w:rPr>
    </w:lvl>
  </w:abstractNum>
  <w:abstractNum w:abstractNumId="32"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CF1D25"/>
    <w:multiLevelType w:val="hybridMultilevel"/>
    <w:tmpl w:val="9E861164"/>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34" w15:restartNumberingAfterBreak="0">
    <w:nsid w:val="61FA708F"/>
    <w:multiLevelType w:val="hybridMultilevel"/>
    <w:tmpl w:val="E9E0F9FA"/>
    <w:lvl w:ilvl="0" w:tplc="B7ACED2A">
      <w:start w:val="2"/>
      <w:numFmt w:val="bullet"/>
      <w:lvlText w:val="-"/>
      <w:lvlJc w:val="left"/>
      <w:pPr>
        <w:tabs>
          <w:tab w:val="num" w:pos="720"/>
        </w:tabs>
        <w:ind w:left="720" w:hanging="360"/>
      </w:pPr>
      <w:rPr>
        <w:rFonts w:ascii="Arial Narrow" w:eastAsia="Times New Roman" w:hAnsi="Arial Narro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32487"/>
    <w:multiLevelType w:val="hybridMultilevel"/>
    <w:tmpl w:val="EE4A24AE"/>
    <w:lvl w:ilvl="0" w:tplc="0408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74C2C93"/>
    <w:multiLevelType w:val="hybridMultilevel"/>
    <w:tmpl w:val="7D14C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87E01AC"/>
    <w:multiLevelType w:val="hybridMultilevel"/>
    <w:tmpl w:val="BB68F4E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8" w15:restartNumberingAfterBreak="0">
    <w:nsid w:val="6CBC3642"/>
    <w:multiLevelType w:val="hybridMultilevel"/>
    <w:tmpl w:val="DFFC7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CD44399"/>
    <w:multiLevelType w:val="hybridMultilevel"/>
    <w:tmpl w:val="FDA439E6"/>
    <w:lvl w:ilvl="0" w:tplc="9A3A22EC">
      <w:numFmt w:val="bullet"/>
      <w:lvlText w:val="-"/>
      <w:lvlJc w:val="left"/>
      <w:pPr>
        <w:ind w:left="113" w:hanging="117"/>
      </w:pPr>
      <w:rPr>
        <w:rFonts w:ascii="Calibri" w:eastAsia="Calibri" w:hAnsi="Calibri" w:cs="Calibri" w:hint="default"/>
        <w:w w:val="100"/>
        <w:sz w:val="22"/>
        <w:szCs w:val="22"/>
        <w:lang w:val="el-GR" w:eastAsia="en-US" w:bidi="ar-SA"/>
      </w:rPr>
    </w:lvl>
    <w:lvl w:ilvl="1" w:tplc="36A4C40E">
      <w:numFmt w:val="bullet"/>
      <w:lvlText w:val="•"/>
      <w:lvlJc w:val="left"/>
      <w:pPr>
        <w:ind w:left="516" w:hanging="117"/>
      </w:pPr>
      <w:rPr>
        <w:lang w:val="el-GR" w:eastAsia="en-US" w:bidi="ar-SA"/>
      </w:rPr>
    </w:lvl>
    <w:lvl w:ilvl="2" w:tplc="083EA7FE">
      <w:numFmt w:val="bullet"/>
      <w:lvlText w:val="•"/>
      <w:lvlJc w:val="left"/>
      <w:pPr>
        <w:ind w:left="913" w:hanging="117"/>
      </w:pPr>
      <w:rPr>
        <w:lang w:val="el-GR" w:eastAsia="en-US" w:bidi="ar-SA"/>
      </w:rPr>
    </w:lvl>
    <w:lvl w:ilvl="3" w:tplc="521ECCC0">
      <w:numFmt w:val="bullet"/>
      <w:lvlText w:val="•"/>
      <w:lvlJc w:val="left"/>
      <w:pPr>
        <w:ind w:left="1309" w:hanging="117"/>
      </w:pPr>
      <w:rPr>
        <w:lang w:val="el-GR" w:eastAsia="en-US" w:bidi="ar-SA"/>
      </w:rPr>
    </w:lvl>
    <w:lvl w:ilvl="4" w:tplc="6D4C5606">
      <w:numFmt w:val="bullet"/>
      <w:lvlText w:val="•"/>
      <w:lvlJc w:val="left"/>
      <w:pPr>
        <w:ind w:left="1706" w:hanging="117"/>
      </w:pPr>
      <w:rPr>
        <w:lang w:val="el-GR" w:eastAsia="en-US" w:bidi="ar-SA"/>
      </w:rPr>
    </w:lvl>
    <w:lvl w:ilvl="5" w:tplc="88E64A9C">
      <w:numFmt w:val="bullet"/>
      <w:lvlText w:val="•"/>
      <w:lvlJc w:val="left"/>
      <w:pPr>
        <w:ind w:left="2103" w:hanging="117"/>
      </w:pPr>
      <w:rPr>
        <w:lang w:val="el-GR" w:eastAsia="en-US" w:bidi="ar-SA"/>
      </w:rPr>
    </w:lvl>
    <w:lvl w:ilvl="6" w:tplc="D1925FBE">
      <w:numFmt w:val="bullet"/>
      <w:lvlText w:val="•"/>
      <w:lvlJc w:val="left"/>
      <w:pPr>
        <w:ind w:left="2499" w:hanging="117"/>
      </w:pPr>
      <w:rPr>
        <w:lang w:val="el-GR" w:eastAsia="en-US" w:bidi="ar-SA"/>
      </w:rPr>
    </w:lvl>
    <w:lvl w:ilvl="7" w:tplc="50008138">
      <w:numFmt w:val="bullet"/>
      <w:lvlText w:val="•"/>
      <w:lvlJc w:val="left"/>
      <w:pPr>
        <w:ind w:left="2896" w:hanging="117"/>
      </w:pPr>
      <w:rPr>
        <w:lang w:val="el-GR" w:eastAsia="en-US" w:bidi="ar-SA"/>
      </w:rPr>
    </w:lvl>
    <w:lvl w:ilvl="8" w:tplc="DD3AAA44">
      <w:numFmt w:val="bullet"/>
      <w:lvlText w:val="•"/>
      <w:lvlJc w:val="left"/>
      <w:pPr>
        <w:ind w:left="3292" w:hanging="117"/>
      </w:pPr>
      <w:rPr>
        <w:lang w:val="el-GR" w:eastAsia="en-US" w:bidi="ar-SA"/>
      </w:rPr>
    </w:lvl>
  </w:abstractNum>
  <w:abstractNum w:abstractNumId="40" w15:restartNumberingAfterBreak="0">
    <w:nsid w:val="6D995A2A"/>
    <w:multiLevelType w:val="hybridMultilevel"/>
    <w:tmpl w:val="8662DCE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E101D76"/>
    <w:multiLevelType w:val="hybridMultilevel"/>
    <w:tmpl w:val="F3F800FC"/>
    <w:lvl w:ilvl="0" w:tplc="3FC01C04">
      <w:numFmt w:val="bullet"/>
      <w:lvlText w:val=""/>
      <w:lvlJc w:val="left"/>
      <w:pPr>
        <w:ind w:left="838" w:hanging="360"/>
      </w:pPr>
      <w:rPr>
        <w:rFonts w:ascii="Wingdings" w:eastAsia="Wingdings" w:hAnsi="Wingdings" w:cs="Wingdings" w:hint="default"/>
        <w:w w:val="100"/>
        <w:sz w:val="22"/>
        <w:szCs w:val="22"/>
        <w:lang w:val="el-GR" w:eastAsia="en-US" w:bidi="ar-SA"/>
      </w:rPr>
    </w:lvl>
    <w:lvl w:ilvl="1" w:tplc="18C8FE60">
      <w:numFmt w:val="bullet"/>
      <w:lvlText w:val=""/>
      <w:lvlJc w:val="left"/>
      <w:pPr>
        <w:ind w:left="980" w:hanging="360"/>
      </w:pPr>
      <w:rPr>
        <w:rFonts w:ascii="Wingdings" w:eastAsia="Wingdings" w:hAnsi="Wingdings" w:cs="Wingdings" w:hint="default"/>
        <w:w w:val="100"/>
        <w:sz w:val="22"/>
        <w:szCs w:val="22"/>
        <w:lang w:val="el-GR" w:eastAsia="en-US" w:bidi="ar-SA"/>
      </w:rPr>
    </w:lvl>
    <w:lvl w:ilvl="2" w:tplc="610C879C">
      <w:numFmt w:val="bullet"/>
      <w:lvlText w:val="•"/>
      <w:lvlJc w:val="left"/>
      <w:pPr>
        <w:ind w:left="1836" w:hanging="360"/>
      </w:pPr>
      <w:rPr>
        <w:lang w:val="el-GR" w:eastAsia="en-US" w:bidi="ar-SA"/>
      </w:rPr>
    </w:lvl>
    <w:lvl w:ilvl="3" w:tplc="D7FC7A6A">
      <w:numFmt w:val="bullet"/>
      <w:lvlText w:val="•"/>
      <w:lvlJc w:val="left"/>
      <w:pPr>
        <w:ind w:left="2692" w:hanging="360"/>
      </w:pPr>
      <w:rPr>
        <w:lang w:val="el-GR" w:eastAsia="en-US" w:bidi="ar-SA"/>
      </w:rPr>
    </w:lvl>
    <w:lvl w:ilvl="4" w:tplc="A574C0D0">
      <w:numFmt w:val="bullet"/>
      <w:lvlText w:val="•"/>
      <w:lvlJc w:val="left"/>
      <w:pPr>
        <w:ind w:left="3548" w:hanging="360"/>
      </w:pPr>
      <w:rPr>
        <w:lang w:val="el-GR" w:eastAsia="en-US" w:bidi="ar-SA"/>
      </w:rPr>
    </w:lvl>
    <w:lvl w:ilvl="5" w:tplc="67EEB726">
      <w:numFmt w:val="bullet"/>
      <w:lvlText w:val="•"/>
      <w:lvlJc w:val="left"/>
      <w:pPr>
        <w:ind w:left="4405" w:hanging="360"/>
      </w:pPr>
      <w:rPr>
        <w:lang w:val="el-GR" w:eastAsia="en-US" w:bidi="ar-SA"/>
      </w:rPr>
    </w:lvl>
    <w:lvl w:ilvl="6" w:tplc="B694DBEE">
      <w:numFmt w:val="bullet"/>
      <w:lvlText w:val="•"/>
      <w:lvlJc w:val="left"/>
      <w:pPr>
        <w:ind w:left="5261" w:hanging="360"/>
      </w:pPr>
      <w:rPr>
        <w:lang w:val="el-GR" w:eastAsia="en-US" w:bidi="ar-SA"/>
      </w:rPr>
    </w:lvl>
    <w:lvl w:ilvl="7" w:tplc="DD06EBA2">
      <w:numFmt w:val="bullet"/>
      <w:lvlText w:val="•"/>
      <w:lvlJc w:val="left"/>
      <w:pPr>
        <w:ind w:left="6117" w:hanging="360"/>
      </w:pPr>
      <w:rPr>
        <w:lang w:val="el-GR" w:eastAsia="en-US" w:bidi="ar-SA"/>
      </w:rPr>
    </w:lvl>
    <w:lvl w:ilvl="8" w:tplc="5C189DB4">
      <w:numFmt w:val="bullet"/>
      <w:lvlText w:val="•"/>
      <w:lvlJc w:val="left"/>
      <w:pPr>
        <w:ind w:left="6973" w:hanging="360"/>
      </w:pPr>
      <w:rPr>
        <w:lang w:val="el-GR" w:eastAsia="en-US" w:bidi="ar-SA"/>
      </w:rPr>
    </w:lvl>
  </w:abstractNum>
  <w:abstractNum w:abstractNumId="42" w15:restartNumberingAfterBreak="0">
    <w:nsid w:val="6FBC560F"/>
    <w:multiLevelType w:val="hybridMultilevel"/>
    <w:tmpl w:val="766CA23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3" w15:restartNumberingAfterBreak="0">
    <w:nsid w:val="734A3355"/>
    <w:multiLevelType w:val="hybridMultilevel"/>
    <w:tmpl w:val="21425A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4A0023F"/>
    <w:multiLevelType w:val="hybridMultilevel"/>
    <w:tmpl w:val="999A29F2"/>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5225CC2"/>
    <w:multiLevelType w:val="hybridMultilevel"/>
    <w:tmpl w:val="EE1A14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93D6799"/>
    <w:multiLevelType w:val="hybridMultilevel"/>
    <w:tmpl w:val="766CA2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7EF66E55"/>
    <w:multiLevelType w:val="hybridMultilevel"/>
    <w:tmpl w:val="EE1A14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829055806">
    <w:abstractNumId w:val="23"/>
  </w:num>
  <w:num w:numId="2" w16cid:durableId="371459961">
    <w:abstractNumId w:val="4"/>
  </w:num>
  <w:num w:numId="3" w16cid:durableId="1357344649">
    <w:abstractNumId w:val="17"/>
  </w:num>
  <w:num w:numId="4" w16cid:durableId="165287051">
    <w:abstractNumId w:val="30"/>
  </w:num>
  <w:num w:numId="5" w16cid:durableId="1918586719">
    <w:abstractNumId w:val="7"/>
  </w:num>
  <w:num w:numId="6" w16cid:durableId="506793637">
    <w:abstractNumId w:val="0"/>
  </w:num>
  <w:num w:numId="7" w16cid:durableId="845632189">
    <w:abstractNumId w:val="24"/>
  </w:num>
  <w:num w:numId="8" w16cid:durableId="312219290">
    <w:abstractNumId w:val="12"/>
  </w:num>
  <w:num w:numId="9" w16cid:durableId="1597982927">
    <w:abstractNumId w:val="2"/>
  </w:num>
  <w:num w:numId="10" w16cid:durableId="525680824">
    <w:abstractNumId w:val="32"/>
  </w:num>
  <w:num w:numId="11" w16cid:durableId="1665472849">
    <w:abstractNumId w:val="31"/>
  </w:num>
  <w:num w:numId="12" w16cid:durableId="1757242546">
    <w:abstractNumId w:val="21"/>
  </w:num>
  <w:num w:numId="13" w16cid:durableId="1530946098">
    <w:abstractNumId w:val="37"/>
  </w:num>
  <w:num w:numId="14" w16cid:durableId="2127432102">
    <w:abstractNumId w:val="28"/>
  </w:num>
  <w:num w:numId="15" w16cid:durableId="311296917">
    <w:abstractNumId w:val="19"/>
  </w:num>
  <w:num w:numId="16" w16cid:durableId="569735650">
    <w:abstractNumId w:val="15"/>
  </w:num>
  <w:num w:numId="17" w16cid:durableId="4181384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9919634">
    <w:abstractNumId w:val="18"/>
  </w:num>
  <w:num w:numId="19" w16cid:durableId="2099717639">
    <w:abstractNumId w:val="26"/>
  </w:num>
  <w:num w:numId="20" w16cid:durableId="848176596">
    <w:abstractNumId w:val="20"/>
  </w:num>
  <w:num w:numId="21" w16cid:durableId="1808738583">
    <w:abstractNumId w:val="13"/>
  </w:num>
  <w:num w:numId="22" w16cid:durableId="619143992">
    <w:abstractNumId w:val="34"/>
  </w:num>
  <w:num w:numId="23" w16cid:durableId="5515002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7664670">
    <w:abstractNumId w:val="46"/>
  </w:num>
  <w:num w:numId="25" w16cid:durableId="1241139620">
    <w:abstractNumId w:val="45"/>
  </w:num>
  <w:num w:numId="26" w16cid:durableId="1010135191">
    <w:abstractNumId w:val="25"/>
  </w:num>
  <w:num w:numId="27" w16cid:durableId="388189667">
    <w:abstractNumId w:val="3"/>
  </w:num>
  <w:num w:numId="28" w16cid:durableId="1066416118">
    <w:abstractNumId w:val="43"/>
  </w:num>
  <w:num w:numId="29" w16cid:durableId="108821705">
    <w:abstractNumId w:val="9"/>
  </w:num>
  <w:num w:numId="30" w16cid:durableId="1834561003">
    <w:abstractNumId w:val="14"/>
  </w:num>
  <w:num w:numId="31" w16cid:durableId="1477186168">
    <w:abstractNumId w:val="41"/>
  </w:num>
  <w:num w:numId="32" w16cid:durableId="124349279">
    <w:abstractNumId w:val="39"/>
  </w:num>
  <w:num w:numId="33" w16cid:durableId="1156604697">
    <w:abstractNumId w:val="5"/>
  </w:num>
  <w:num w:numId="34" w16cid:durableId="806898044">
    <w:abstractNumId w:val="36"/>
  </w:num>
  <w:num w:numId="35" w16cid:durableId="1692298081">
    <w:abstractNumId w:val="29"/>
  </w:num>
  <w:num w:numId="36" w16cid:durableId="94793769">
    <w:abstractNumId w:val="8"/>
  </w:num>
  <w:num w:numId="37" w16cid:durableId="124273184">
    <w:abstractNumId w:val="35"/>
  </w:num>
  <w:num w:numId="38" w16cid:durableId="1074815290">
    <w:abstractNumId w:val="38"/>
  </w:num>
  <w:num w:numId="39" w16cid:durableId="1987585358">
    <w:abstractNumId w:val="27"/>
  </w:num>
  <w:num w:numId="40" w16cid:durableId="1359813641">
    <w:abstractNumId w:val="44"/>
  </w:num>
  <w:num w:numId="41" w16cid:durableId="728764414">
    <w:abstractNumId w:val="10"/>
  </w:num>
  <w:num w:numId="42" w16cid:durableId="1169709142">
    <w:abstractNumId w:val="6"/>
  </w:num>
  <w:num w:numId="43" w16cid:durableId="134378234">
    <w:abstractNumId w:val="16"/>
  </w:num>
  <w:num w:numId="44" w16cid:durableId="1523126320">
    <w:abstractNumId w:val="40"/>
  </w:num>
  <w:num w:numId="45" w16cid:durableId="212279084">
    <w:abstractNumId w:val="11"/>
  </w:num>
  <w:num w:numId="46" w16cid:durableId="1227834397">
    <w:abstractNumId w:val="1"/>
  </w:num>
  <w:num w:numId="47" w16cid:durableId="770970530">
    <w:abstractNumId w:val="33"/>
  </w:num>
  <w:num w:numId="48" w16cid:durableId="173323200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03728"/>
    <w:rsid w:val="000216B0"/>
    <w:rsid w:val="00024D66"/>
    <w:rsid w:val="00026D19"/>
    <w:rsid w:val="00026D85"/>
    <w:rsid w:val="00032BC2"/>
    <w:rsid w:val="0003367B"/>
    <w:rsid w:val="00041AB4"/>
    <w:rsid w:val="0005592B"/>
    <w:rsid w:val="0006333A"/>
    <w:rsid w:val="00067ECD"/>
    <w:rsid w:val="00070142"/>
    <w:rsid w:val="00071628"/>
    <w:rsid w:val="00072BA8"/>
    <w:rsid w:val="00081DC4"/>
    <w:rsid w:val="00084647"/>
    <w:rsid w:val="00085448"/>
    <w:rsid w:val="0008609B"/>
    <w:rsid w:val="000861D9"/>
    <w:rsid w:val="00093E31"/>
    <w:rsid w:val="000975A1"/>
    <w:rsid w:val="000A0120"/>
    <w:rsid w:val="000B4417"/>
    <w:rsid w:val="000B6337"/>
    <w:rsid w:val="000C70D6"/>
    <w:rsid w:val="000D13E4"/>
    <w:rsid w:val="000D5161"/>
    <w:rsid w:val="000D5972"/>
    <w:rsid w:val="000D6C92"/>
    <w:rsid w:val="000E15C8"/>
    <w:rsid w:val="000E1E19"/>
    <w:rsid w:val="000E2774"/>
    <w:rsid w:val="000E415A"/>
    <w:rsid w:val="000F266E"/>
    <w:rsid w:val="000F2944"/>
    <w:rsid w:val="000F7EFD"/>
    <w:rsid w:val="0010088F"/>
    <w:rsid w:val="00111E09"/>
    <w:rsid w:val="001140DB"/>
    <w:rsid w:val="0011676F"/>
    <w:rsid w:val="00116B9F"/>
    <w:rsid w:val="001243BD"/>
    <w:rsid w:val="00124D70"/>
    <w:rsid w:val="00126C95"/>
    <w:rsid w:val="00134CCE"/>
    <w:rsid w:val="00137E31"/>
    <w:rsid w:val="00145730"/>
    <w:rsid w:val="0015317E"/>
    <w:rsid w:val="00161125"/>
    <w:rsid w:val="0016124F"/>
    <w:rsid w:val="001622B4"/>
    <w:rsid w:val="00167242"/>
    <w:rsid w:val="00170EB6"/>
    <w:rsid w:val="001755B3"/>
    <w:rsid w:val="001755FC"/>
    <w:rsid w:val="0017646D"/>
    <w:rsid w:val="00176E93"/>
    <w:rsid w:val="00177777"/>
    <w:rsid w:val="00184D58"/>
    <w:rsid w:val="0019444A"/>
    <w:rsid w:val="001A1B01"/>
    <w:rsid w:val="001A36D2"/>
    <w:rsid w:val="001A4FB1"/>
    <w:rsid w:val="001B15BA"/>
    <w:rsid w:val="001B273B"/>
    <w:rsid w:val="001B2B4D"/>
    <w:rsid w:val="001B6781"/>
    <w:rsid w:val="001C49CA"/>
    <w:rsid w:val="001C64C2"/>
    <w:rsid w:val="001D157F"/>
    <w:rsid w:val="001D6A94"/>
    <w:rsid w:val="001D7EE8"/>
    <w:rsid w:val="001E047C"/>
    <w:rsid w:val="001E34A8"/>
    <w:rsid w:val="001E3F9F"/>
    <w:rsid w:val="001E7357"/>
    <w:rsid w:val="001F3116"/>
    <w:rsid w:val="001F48C8"/>
    <w:rsid w:val="001F66DA"/>
    <w:rsid w:val="0020140A"/>
    <w:rsid w:val="00202569"/>
    <w:rsid w:val="00203D9D"/>
    <w:rsid w:val="00210B55"/>
    <w:rsid w:val="002137A5"/>
    <w:rsid w:val="002158F9"/>
    <w:rsid w:val="00220810"/>
    <w:rsid w:val="00222893"/>
    <w:rsid w:val="0022466A"/>
    <w:rsid w:val="002270A5"/>
    <w:rsid w:val="002314B1"/>
    <w:rsid w:val="00231BB0"/>
    <w:rsid w:val="00234A1D"/>
    <w:rsid w:val="00240924"/>
    <w:rsid w:val="0024249F"/>
    <w:rsid w:val="00243770"/>
    <w:rsid w:val="00250E3B"/>
    <w:rsid w:val="00266031"/>
    <w:rsid w:val="00272825"/>
    <w:rsid w:val="002768D4"/>
    <w:rsid w:val="00280286"/>
    <w:rsid w:val="0028049E"/>
    <w:rsid w:val="002878BE"/>
    <w:rsid w:val="00292052"/>
    <w:rsid w:val="002A134F"/>
    <w:rsid w:val="002A207E"/>
    <w:rsid w:val="002A707A"/>
    <w:rsid w:val="002B1806"/>
    <w:rsid w:val="002B204B"/>
    <w:rsid w:val="002C128D"/>
    <w:rsid w:val="002C3AFB"/>
    <w:rsid w:val="002C5D47"/>
    <w:rsid w:val="002D7D6A"/>
    <w:rsid w:val="002E4A4D"/>
    <w:rsid w:val="002E4A80"/>
    <w:rsid w:val="002E4BB0"/>
    <w:rsid w:val="002F2292"/>
    <w:rsid w:val="002F2E14"/>
    <w:rsid w:val="002F3E4D"/>
    <w:rsid w:val="00302E32"/>
    <w:rsid w:val="003062DC"/>
    <w:rsid w:val="00307890"/>
    <w:rsid w:val="003106B6"/>
    <w:rsid w:val="00321021"/>
    <w:rsid w:val="0032576E"/>
    <w:rsid w:val="00330315"/>
    <w:rsid w:val="00332ADC"/>
    <w:rsid w:val="003336A7"/>
    <w:rsid w:val="00335CF3"/>
    <w:rsid w:val="003408D0"/>
    <w:rsid w:val="00347D1C"/>
    <w:rsid w:val="00363A6F"/>
    <w:rsid w:val="003661BE"/>
    <w:rsid w:val="003663A6"/>
    <w:rsid w:val="00367154"/>
    <w:rsid w:val="00371295"/>
    <w:rsid w:val="003725BA"/>
    <w:rsid w:val="0037551F"/>
    <w:rsid w:val="00382489"/>
    <w:rsid w:val="00384361"/>
    <w:rsid w:val="00393248"/>
    <w:rsid w:val="00393D26"/>
    <w:rsid w:val="00394679"/>
    <w:rsid w:val="00395427"/>
    <w:rsid w:val="00396B63"/>
    <w:rsid w:val="003A1296"/>
    <w:rsid w:val="003A57FE"/>
    <w:rsid w:val="003A7925"/>
    <w:rsid w:val="003B3E78"/>
    <w:rsid w:val="003B3FEB"/>
    <w:rsid w:val="003B5715"/>
    <w:rsid w:val="003B5C89"/>
    <w:rsid w:val="003B6A0D"/>
    <w:rsid w:val="003C3A43"/>
    <w:rsid w:val="003C45ED"/>
    <w:rsid w:val="003D2C96"/>
    <w:rsid w:val="003D310A"/>
    <w:rsid w:val="003D3219"/>
    <w:rsid w:val="003E1B61"/>
    <w:rsid w:val="003F0EB7"/>
    <w:rsid w:val="003F1645"/>
    <w:rsid w:val="00403820"/>
    <w:rsid w:val="0040778F"/>
    <w:rsid w:val="00410E53"/>
    <w:rsid w:val="00414CE8"/>
    <w:rsid w:val="00417EFF"/>
    <w:rsid w:val="00420B9D"/>
    <w:rsid w:val="00424595"/>
    <w:rsid w:val="00425367"/>
    <w:rsid w:val="00430EB6"/>
    <w:rsid w:val="00431155"/>
    <w:rsid w:val="00432D53"/>
    <w:rsid w:val="004362C0"/>
    <w:rsid w:val="004435E2"/>
    <w:rsid w:val="004450A2"/>
    <w:rsid w:val="0044511D"/>
    <w:rsid w:val="00450338"/>
    <w:rsid w:val="00453E82"/>
    <w:rsid w:val="00454190"/>
    <w:rsid w:val="004554D3"/>
    <w:rsid w:val="00455619"/>
    <w:rsid w:val="004660CC"/>
    <w:rsid w:val="00467942"/>
    <w:rsid w:val="004818BC"/>
    <w:rsid w:val="00492458"/>
    <w:rsid w:val="004A6724"/>
    <w:rsid w:val="004A6A3D"/>
    <w:rsid w:val="004A6C61"/>
    <w:rsid w:val="004C61CD"/>
    <w:rsid w:val="004D29AA"/>
    <w:rsid w:val="004D3A1D"/>
    <w:rsid w:val="004D4457"/>
    <w:rsid w:val="004D6235"/>
    <w:rsid w:val="004D7F8C"/>
    <w:rsid w:val="004E0017"/>
    <w:rsid w:val="004E555F"/>
    <w:rsid w:val="004E58FF"/>
    <w:rsid w:val="004E663D"/>
    <w:rsid w:val="004F22C4"/>
    <w:rsid w:val="004F700A"/>
    <w:rsid w:val="0050081B"/>
    <w:rsid w:val="00500A24"/>
    <w:rsid w:val="00501A2E"/>
    <w:rsid w:val="00502C43"/>
    <w:rsid w:val="00502DBC"/>
    <w:rsid w:val="00511EEC"/>
    <w:rsid w:val="00526911"/>
    <w:rsid w:val="00527327"/>
    <w:rsid w:val="00527DB2"/>
    <w:rsid w:val="005330F4"/>
    <w:rsid w:val="005355C4"/>
    <w:rsid w:val="00536EA0"/>
    <w:rsid w:val="00542A98"/>
    <w:rsid w:val="00545A84"/>
    <w:rsid w:val="00554204"/>
    <w:rsid w:val="005619C0"/>
    <w:rsid w:val="00567FD9"/>
    <w:rsid w:val="00570024"/>
    <w:rsid w:val="00574F7A"/>
    <w:rsid w:val="00582AF9"/>
    <w:rsid w:val="00590AE5"/>
    <w:rsid w:val="005A575E"/>
    <w:rsid w:val="005A6235"/>
    <w:rsid w:val="005B3109"/>
    <w:rsid w:val="005C5CE1"/>
    <w:rsid w:val="005D0AC4"/>
    <w:rsid w:val="005D153D"/>
    <w:rsid w:val="005D1E7A"/>
    <w:rsid w:val="005D2860"/>
    <w:rsid w:val="005D35C0"/>
    <w:rsid w:val="005D6211"/>
    <w:rsid w:val="005D799E"/>
    <w:rsid w:val="005E0141"/>
    <w:rsid w:val="005E3A58"/>
    <w:rsid w:val="005F11F0"/>
    <w:rsid w:val="005F1A6E"/>
    <w:rsid w:val="005F3A9A"/>
    <w:rsid w:val="005F4D28"/>
    <w:rsid w:val="005F6ABA"/>
    <w:rsid w:val="005F731C"/>
    <w:rsid w:val="00602D13"/>
    <w:rsid w:val="00607024"/>
    <w:rsid w:val="006107DA"/>
    <w:rsid w:val="006117ED"/>
    <w:rsid w:val="0061741C"/>
    <w:rsid w:val="00623DDD"/>
    <w:rsid w:val="00623F7B"/>
    <w:rsid w:val="006266A4"/>
    <w:rsid w:val="006278C0"/>
    <w:rsid w:val="00627FD4"/>
    <w:rsid w:val="0063309C"/>
    <w:rsid w:val="00634801"/>
    <w:rsid w:val="0064038A"/>
    <w:rsid w:val="00642507"/>
    <w:rsid w:val="00644487"/>
    <w:rsid w:val="00647561"/>
    <w:rsid w:val="006526B1"/>
    <w:rsid w:val="006549B6"/>
    <w:rsid w:val="006633EF"/>
    <w:rsid w:val="006660E5"/>
    <w:rsid w:val="00667BF1"/>
    <w:rsid w:val="006706DE"/>
    <w:rsid w:val="00673E0B"/>
    <w:rsid w:val="006828C2"/>
    <w:rsid w:val="00694595"/>
    <w:rsid w:val="006A0743"/>
    <w:rsid w:val="006A1743"/>
    <w:rsid w:val="006A3640"/>
    <w:rsid w:val="006A4C13"/>
    <w:rsid w:val="006B2F64"/>
    <w:rsid w:val="006C0368"/>
    <w:rsid w:val="006C29FE"/>
    <w:rsid w:val="006C5E39"/>
    <w:rsid w:val="006C7332"/>
    <w:rsid w:val="006D0A85"/>
    <w:rsid w:val="006D4382"/>
    <w:rsid w:val="006D6914"/>
    <w:rsid w:val="006E55FA"/>
    <w:rsid w:val="006F4085"/>
    <w:rsid w:val="006F4E7D"/>
    <w:rsid w:val="00701E57"/>
    <w:rsid w:val="00703CD6"/>
    <w:rsid w:val="00704476"/>
    <w:rsid w:val="00704482"/>
    <w:rsid w:val="0071040B"/>
    <w:rsid w:val="007115F4"/>
    <w:rsid w:val="007235D9"/>
    <w:rsid w:val="007258FD"/>
    <w:rsid w:val="00725F76"/>
    <w:rsid w:val="00752A76"/>
    <w:rsid w:val="00757A4B"/>
    <w:rsid w:val="00780B22"/>
    <w:rsid w:val="0078110B"/>
    <w:rsid w:val="007A246D"/>
    <w:rsid w:val="007A2688"/>
    <w:rsid w:val="007D1E26"/>
    <w:rsid w:val="007D759F"/>
    <w:rsid w:val="007E0537"/>
    <w:rsid w:val="007E35F2"/>
    <w:rsid w:val="007E6C20"/>
    <w:rsid w:val="007E780C"/>
    <w:rsid w:val="007F001B"/>
    <w:rsid w:val="007F2485"/>
    <w:rsid w:val="007F415A"/>
    <w:rsid w:val="008043E8"/>
    <w:rsid w:val="008116A6"/>
    <w:rsid w:val="0081353A"/>
    <w:rsid w:val="00813B97"/>
    <w:rsid w:val="00815935"/>
    <w:rsid w:val="00816BA3"/>
    <w:rsid w:val="008171DE"/>
    <w:rsid w:val="00826082"/>
    <w:rsid w:val="00826397"/>
    <w:rsid w:val="00826F84"/>
    <w:rsid w:val="00833526"/>
    <w:rsid w:val="00835A4E"/>
    <w:rsid w:val="00841407"/>
    <w:rsid w:val="00842C17"/>
    <w:rsid w:val="00844649"/>
    <w:rsid w:val="00850DCC"/>
    <w:rsid w:val="00852C9E"/>
    <w:rsid w:val="0086051F"/>
    <w:rsid w:val="00863901"/>
    <w:rsid w:val="00866EB2"/>
    <w:rsid w:val="00872CC5"/>
    <w:rsid w:val="008765B2"/>
    <w:rsid w:val="008814A3"/>
    <w:rsid w:val="00882320"/>
    <w:rsid w:val="008855F3"/>
    <w:rsid w:val="008860D6"/>
    <w:rsid w:val="0089105B"/>
    <w:rsid w:val="00893C52"/>
    <w:rsid w:val="008A0F61"/>
    <w:rsid w:val="008A1AAB"/>
    <w:rsid w:val="008A2612"/>
    <w:rsid w:val="008C7FB8"/>
    <w:rsid w:val="008D455D"/>
    <w:rsid w:val="008E0373"/>
    <w:rsid w:val="008E1C68"/>
    <w:rsid w:val="008F30FC"/>
    <w:rsid w:val="008F3F4D"/>
    <w:rsid w:val="00900268"/>
    <w:rsid w:val="00901C3D"/>
    <w:rsid w:val="0090537E"/>
    <w:rsid w:val="00911946"/>
    <w:rsid w:val="00912094"/>
    <w:rsid w:val="00921467"/>
    <w:rsid w:val="00921BA9"/>
    <w:rsid w:val="00933053"/>
    <w:rsid w:val="009353BA"/>
    <w:rsid w:val="00935EAE"/>
    <w:rsid w:val="009368D6"/>
    <w:rsid w:val="00937766"/>
    <w:rsid w:val="00937B6C"/>
    <w:rsid w:val="00947F31"/>
    <w:rsid w:val="009507B0"/>
    <w:rsid w:val="009528E7"/>
    <w:rsid w:val="00952FF7"/>
    <w:rsid w:val="00955863"/>
    <w:rsid w:val="00955A96"/>
    <w:rsid w:val="00957288"/>
    <w:rsid w:val="009574EA"/>
    <w:rsid w:val="00960CF3"/>
    <w:rsid w:val="00962409"/>
    <w:rsid w:val="00966E74"/>
    <w:rsid w:val="00966F22"/>
    <w:rsid w:val="009670BC"/>
    <w:rsid w:val="00967277"/>
    <w:rsid w:val="0096773B"/>
    <w:rsid w:val="00972026"/>
    <w:rsid w:val="0099170E"/>
    <w:rsid w:val="00991B80"/>
    <w:rsid w:val="009A4015"/>
    <w:rsid w:val="009A5211"/>
    <w:rsid w:val="009B7C6F"/>
    <w:rsid w:val="009C11A4"/>
    <w:rsid w:val="009D220D"/>
    <w:rsid w:val="009D2423"/>
    <w:rsid w:val="009D58D8"/>
    <w:rsid w:val="009D61C2"/>
    <w:rsid w:val="009D7E3B"/>
    <w:rsid w:val="009E31EC"/>
    <w:rsid w:val="009E43A6"/>
    <w:rsid w:val="009E775A"/>
    <w:rsid w:val="009F4134"/>
    <w:rsid w:val="00A00807"/>
    <w:rsid w:val="00A04774"/>
    <w:rsid w:val="00A059A5"/>
    <w:rsid w:val="00A05BE4"/>
    <w:rsid w:val="00A05EA5"/>
    <w:rsid w:val="00A166E6"/>
    <w:rsid w:val="00A2405E"/>
    <w:rsid w:val="00A243ED"/>
    <w:rsid w:val="00A25152"/>
    <w:rsid w:val="00A343E6"/>
    <w:rsid w:val="00A40861"/>
    <w:rsid w:val="00A438A1"/>
    <w:rsid w:val="00A45FCC"/>
    <w:rsid w:val="00A5048D"/>
    <w:rsid w:val="00A55F3B"/>
    <w:rsid w:val="00A57E57"/>
    <w:rsid w:val="00A61418"/>
    <w:rsid w:val="00A616D5"/>
    <w:rsid w:val="00A6208F"/>
    <w:rsid w:val="00A63FC3"/>
    <w:rsid w:val="00A65FD1"/>
    <w:rsid w:val="00A66E5E"/>
    <w:rsid w:val="00A75D0A"/>
    <w:rsid w:val="00A8612B"/>
    <w:rsid w:val="00A86704"/>
    <w:rsid w:val="00A87FC5"/>
    <w:rsid w:val="00A9340D"/>
    <w:rsid w:val="00AA074B"/>
    <w:rsid w:val="00AA0AE0"/>
    <w:rsid w:val="00AA40F1"/>
    <w:rsid w:val="00AB7176"/>
    <w:rsid w:val="00AD6A20"/>
    <w:rsid w:val="00AD6F5C"/>
    <w:rsid w:val="00AF72C4"/>
    <w:rsid w:val="00B0638E"/>
    <w:rsid w:val="00B06ACC"/>
    <w:rsid w:val="00B10EDB"/>
    <w:rsid w:val="00B13570"/>
    <w:rsid w:val="00B1396B"/>
    <w:rsid w:val="00B13AFB"/>
    <w:rsid w:val="00B14213"/>
    <w:rsid w:val="00B143FA"/>
    <w:rsid w:val="00B20797"/>
    <w:rsid w:val="00B22CB3"/>
    <w:rsid w:val="00B2398F"/>
    <w:rsid w:val="00B24F0E"/>
    <w:rsid w:val="00B26D8B"/>
    <w:rsid w:val="00B2753F"/>
    <w:rsid w:val="00B32399"/>
    <w:rsid w:val="00B35B16"/>
    <w:rsid w:val="00B47E58"/>
    <w:rsid w:val="00B53DD3"/>
    <w:rsid w:val="00B547DA"/>
    <w:rsid w:val="00B55E78"/>
    <w:rsid w:val="00B63FD4"/>
    <w:rsid w:val="00B6417B"/>
    <w:rsid w:val="00B72C82"/>
    <w:rsid w:val="00B72FCD"/>
    <w:rsid w:val="00B73F34"/>
    <w:rsid w:val="00B821C5"/>
    <w:rsid w:val="00B85F8B"/>
    <w:rsid w:val="00B8775E"/>
    <w:rsid w:val="00B979B4"/>
    <w:rsid w:val="00BA5DA2"/>
    <w:rsid w:val="00BB1C39"/>
    <w:rsid w:val="00BC2E92"/>
    <w:rsid w:val="00BD099A"/>
    <w:rsid w:val="00BD794E"/>
    <w:rsid w:val="00BE0AE4"/>
    <w:rsid w:val="00BF6EDD"/>
    <w:rsid w:val="00C001A5"/>
    <w:rsid w:val="00C01F6B"/>
    <w:rsid w:val="00C02415"/>
    <w:rsid w:val="00C03BC8"/>
    <w:rsid w:val="00C06F5E"/>
    <w:rsid w:val="00C10B0B"/>
    <w:rsid w:val="00C114D1"/>
    <w:rsid w:val="00C11F0C"/>
    <w:rsid w:val="00C142C6"/>
    <w:rsid w:val="00C1655C"/>
    <w:rsid w:val="00C240C6"/>
    <w:rsid w:val="00C24E3E"/>
    <w:rsid w:val="00C25780"/>
    <w:rsid w:val="00C2651F"/>
    <w:rsid w:val="00C26C37"/>
    <w:rsid w:val="00C3177A"/>
    <w:rsid w:val="00C33B14"/>
    <w:rsid w:val="00C468C0"/>
    <w:rsid w:val="00C47BEC"/>
    <w:rsid w:val="00C64A56"/>
    <w:rsid w:val="00C67457"/>
    <w:rsid w:val="00C72160"/>
    <w:rsid w:val="00C72289"/>
    <w:rsid w:val="00C74719"/>
    <w:rsid w:val="00C81CA5"/>
    <w:rsid w:val="00C859FF"/>
    <w:rsid w:val="00C86AF8"/>
    <w:rsid w:val="00C86D19"/>
    <w:rsid w:val="00C87B8E"/>
    <w:rsid w:val="00C93F3C"/>
    <w:rsid w:val="00C9666B"/>
    <w:rsid w:val="00C97ECF"/>
    <w:rsid w:val="00CA7D93"/>
    <w:rsid w:val="00CB218B"/>
    <w:rsid w:val="00CB37ED"/>
    <w:rsid w:val="00CB7685"/>
    <w:rsid w:val="00CC150C"/>
    <w:rsid w:val="00CC3BA7"/>
    <w:rsid w:val="00CC6D3A"/>
    <w:rsid w:val="00CD13ED"/>
    <w:rsid w:val="00CD612E"/>
    <w:rsid w:val="00CE2346"/>
    <w:rsid w:val="00CE4E27"/>
    <w:rsid w:val="00CE53B8"/>
    <w:rsid w:val="00CE626A"/>
    <w:rsid w:val="00CF0452"/>
    <w:rsid w:val="00CF7CFF"/>
    <w:rsid w:val="00D00A0F"/>
    <w:rsid w:val="00D04192"/>
    <w:rsid w:val="00D04BE0"/>
    <w:rsid w:val="00D1028C"/>
    <w:rsid w:val="00D11331"/>
    <w:rsid w:val="00D1148C"/>
    <w:rsid w:val="00D12B8C"/>
    <w:rsid w:val="00D1348B"/>
    <w:rsid w:val="00D167A0"/>
    <w:rsid w:val="00D167FF"/>
    <w:rsid w:val="00D201B1"/>
    <w:rsid w:val="00D20402"/>
    <w:rsid w:val="00D21022"/>
    <w:rsid w:val="00D235B4"/>
    <w:rsid w:val="00D35058"/>
    <w:rsid w:val="00D46B7E"/>
    <w:rsid w:val="00D47D7F"/>
    <w:rsid w:val="00D5057E"/>
    <w:rsid w:val="00D51BD0"/>
    <w:rsid w:val="00D51CF2"/>
    <w:rsid w:val="00D530EA"/>
    <w:rsid w:val="00D565BC"/>
    <w:rsid w:val="00D66DC9"/>
    <w:rsid w:val="00D705AA"/>
    <w:rsid w:val="00D77C19"/>
    <w:rsid w:val="00D804D8"/>
    <w:rsid w:val="00D8250C"/>
    <w:rsid w:val="00D82B7B"/>
    <w:rsid w:val="00D82DE7"/>
    <w:rsid w:val="00D840DB"/>
    <w:rsid w:val="00D96E6B"/>
    <w:rsid w:val="00DA102A"/>
    <w:rsid w:val="00DC35B4"/>
    <w:rsid w:val="00DC4E9F"/>
    <w:rsid w:val="00DC6572"/>
    <w:rsid w:val="00DD101D"/>
    <w:rsid w:val="00DD1C4E"/>
    <w:rsid w:val="00DE38A6"/>
    <w:rsid w:val="00DF0D32"/>
    <w:rsid w:val="00DF34C7"/>
    <w:rsid w:val="00DF5B5E"/>
    <w:rsid w:val="00E0127A"/>
    <w:rsid w:val="00E029C5"/>
    <w:rsid w:val="00E074FA"/>
    <w:rsid w:val="00E178A7"/>
    <w:rsid w:val="00E20300"/>
    <w:rsid w:val="00E20350"/>
    <w:rsid w:val="00E25107"/>
    <w:rsid w:val="00E30D6C"/>
    <w:rsid w:val="00E3575B"/>
    <w:rsid w:val="00E41E84"/>
    <w:rsid w:val="00E42BE2"/>
    <w:rsid w:val="00E436F2"/>
    <w:rsid w:val="00E43F13"/>
    <w:rsid w:val="00E45736"/>
    <w:rsid w:val="00E45884"/>
    <w:rsid w:val="00E571BB"/>
    <w:rsid w:val="00E61544"/>
    <w:rsid w:val="00E620F6"/>
    <w:rsid w:val="00E65242"/>
    <w:rsid w:val="00E70D95"/>
    <w:rsid w:val="00E74CCD"/>
    <w:rsid w:val="00E82214"/>
    <w:rsid w:val="00E90FCC"/>
    <w:rsid w:val="00E926D0"/>
    <w:rsid w:val="00EA3FCC"/>
    <w:rsid w:val="00EA4EF1"/>
    <w:rsid w:val="00EA6457"/>
    <w:rsid w:val="00EB2D09"/>
    <w:rsid w:val="00EB4303"/>
    <w:rsid w:val="00EB5ACB"/>
    <w:rsid w:val="00EC0FE9"/>
    <w:rsid w:val="00EC344D"/>
    <w:rsid w:val="00ED27AB"/>
    <w:rsid w:val="00ED6064"/>
    <w:rsid w:val="00ED70F3"/>
    <w:rsid w:val="00EE5D5F"/>
    <w:rsid w:val="00EF05CE"/>
    <w:rsid w:val="00F05D7D"/>
    <w:rsid w:val="00F0763B"/>
    <w:rsid w:val="00F169E3"/>
    <w:rsid w:val="00F20C36"/>
    <w:rsid w:val="00F25948"/>
    <w:rsid w:val="00F31069"/>
    <w:rsid w:val="00F3287B"/>
    <w:rsid w:val="00F350CD"/>
    <w:rsid w:val="00F359FA"/>
    <w:rsid w:val="00F35D9E"/>
    <w:rsid w:val="00F40687"/>
    <w:rsid w:val="00F41913"/>
    <w:rsid w:val="00F50D19"/>
    <w:rsid w:val="00F55FBC"/>
    <w:rsid w:val="00F567A9"/>
    <w:rsid w:val="00F57887"/>
    <w:rsid w:val="00F57DE5"/>
    <w:rsid w:val="00F60E67"/>
    <w:rsid w:val="00F6457B"/>
    <w:rsid w:val="00F71D96"/>
    <w:rsid w:val="00F71E3B"/>
    <w:rsid w:val="00F74539"/>
    <w:rsid w:val="00F75A83"/>
    <w:rsid w:val="00F826BD"/>
    <w:rsid w:val="00F86C31"/>
    <w:rsid w:val="00F87E21"/>
    <w:rsid w:val="00F87F61"/>
    <w:rsid w:val="00F90F0B"/>
    <w:rsid w:val="00F934A6"/>
    <w:rsid w:val="00F95E3E"/>
    <w:rsid w:val="00F96C59"/>
    <w:rsid w:val="00FA304C"/>
    <w:rsid w:val="00FB39B6"/>
    <w:rsid w:val="00FB3DD6"/>
    <w:rsid w:val="00FB4DC8"/>
    <w:rsid w:val="00FC58D6"/>
    <w:rsid w:val="00FC68D2"/>
    <w:rsid w:val="00FD0430"/>
    <w:rsid w:val="00FE0BEF"/>
    <w:rsid w:val="00FE1010"/>
    <w:rsid w:val="00FE2F4B"/>
    <w:rsid w:val="00FE3B5A"/>
    <w:rsid w:val="00FF1A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5B16"/>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uiPriority w:val="1"/>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363A6F"/>
    <w:pPr>
      <w:widowControl w:val="0"/>
      <w:shd w:val="clear" w:color="auto" w:fill="F2F2F2" w:themeFill="background1" w:themeFillShade="F2"/>
      <w:tabs>
        <w:tab w:val="right" w:leader="dot" w:pos="10327"/>
      </w:tabs>
      <w:autoSpaceDE w:val="0"/>
      <w:autoSpaceDN w:val="0"/>
      <w:spacing w:before="120" w:after="120" w:line="240" w:lineRule="auto"/>
      <w:ind w:left="284" w:hanging="284"/>
    </w:pPr>
    <w:rPr>
      <w:rFonts w:ascii="Arial" w:eastAsia="Arial" w:hAnsi="Arial" w:cs="Arial"/>
      <w:b/>
      <w:bCs/>
      <w:noProof/>
    </w:rPr>
  </w:style>
  <w:style w:type="paragraph" w:styleId="26">
    <w:name w:val="toc 2"/>
    <w:basedOn w:val="a0"/>
    <w:next w:val="a0"/>
    <w:autoRedefine/>
    <w:uiPriority w:val="39"/>
    <w:unhideWhenUsed/>
    <w:rsid w:val="001E3F9F"/>
    <w:pPr>
      <w:widowControl w:val="0"/>
      <w:tabs>
        <w:tab w:val="right" w:leader="dot" w:pos="10327"/>
      </w:tabs>
      <w:autoSpaceDE w:val="0"/>
      <w:autoSpaceDN w:val="0"/>
      <w:spacing w:before="360" w:after="360" w:line="240" w:lineRule="auto"/>
      <w:ind w:left="568" w:hanging="284"/>
    </w:pPr>
    <w:rPr>
      <w:rFonts w:ascii="Arial" w:eastAsia="Arial" w:hAnsi="Arial" w:cs="Arial"/>
      <w:bCs/>
      <w:noProof/>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
    <w:name w:val="Table Normal"/>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22</Pages>
  <Words>6384</Words>
  <Characters>34478</Characters>
  <Application>Microsoft Office Word</Application>
  <DocSecurity>0</DocSecurity>
  <Lines>287</Lines>
  <Paragraphs>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user</cp:lastModifiedBy>
  <cp:revision>55</cp:revision>
  <cp:lastPrinted>2023-08-04T10:46:00Z</cp:lastPrinted>
  <dcterms:created xsi:type="dcterms:W3CDTF">2023-04-03T12:26:00Z</dcterms:created>
  <dcterms:modified xsi:type="dcterms:W3CDTF">2023-09-11T09:05:00Z</dcterms:modified>
</cp:coreProperties>
</file>