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C2E7" w14:textId="77777777" w:rsidR="00E62A8F" w:rsidRDefault="00E62A8F">
      <w:pPr>
        <w:spacing w:after="120"/>
        <w:ind w:left="120"/>
      </w:pPr>
    </w:p>
    <w:p w14:paraId="77501160" w14:textId="77777777" w:rsidR="00E62A8F" w:rsidRPr="00CE04CA" w:rsidRDefault="00000000">
      <w:pPr>
        <w:spacing w:after="0"/>
        <w:jc w:val="center"/>
        <w:rPr>
          <w:lang w:val="el-GR"/>
        </w:rPr>
      </w:pPr>
      <w:r w:rsidRPr="00CE04CA">
        <w:rPr>
          <w:b/>
          <w:color w:val="000000"/>
          <w:sz w:val="27"/>
          <w:lang w:val="el-GR"/>
        </w:rPr>
        <w:t>Άρθρο 99 ΝΟΜΟΣ 5007/2022</w:t>
      </w:r>
    </w:p>
    <w:p w14:paraId="55B77AA6" w14:textId="77777777" w:rsidR="00E62A8F" w:rsidRPr="00CE04CA" w:rsidRDefault="00000000">
      <w:pPr>
        <w:spacing w:after="300"/>
        <w:jc w:val="center"/>
        <w:rPr>
          <w:lang w:val="el-GR"/>
        </w:rPr>
      </w:pPr>
      <w:r w:rsidRPr="00CE04CA">
        <w:rPr>
          <w:color w:val="000000"/>
          <w:sz w:val="27"/>
          <w:lang w:val="el-GR"/>
        </w:rPr>
        <w:t>Παράταση ισχύος της περιστολής φαινομένων αθέμιτης κερδοφορίας και διεύρυνση της σχετικής εξουσιοδότησης Τροποποίηση άρθρου 58 ν. 4818/2021</w:t>
      </w:r>
    </w:p>
    <w:p w14:paraId="7AE905FF" w14:textId="77777777" w:rsidR="00E62A8F" w:rsidRPr="00CE04CA" w:rsidRDefault="00000000">
      <w:pPr>
        <w:spacing w:after="300"/>
        <w:rPr>
          <w:lang w:val="el-GR"/>
        </w:rPr>
      </w:pPr>
      <w:r w:rsidRPr="00CE04CA">
        <w:rPr>
          <w:color w:val="000000"/>
          <w:sz w:val="27"/>
          <w:lang w:val="el-GR"/>
        </w:rPr>
        <w:t>Στο άρθρο 58 του ν. 4818/2021 (Α’ 124), περί περιστολής των φαινομένων αθέμιτης κερδοφορίας, η προθεσμία της παρ. 1, παρατείνεται, η εξουσιοδότηση της παρ. 6 συμπληρώνεται, και το άρθρο 58 διαμορφώνεται ως εξής:</w:t>
      </w:r>
    </w:p>
    <w:p w14:paraId="589803B7" w14:textId="77777777" w:rsidR="00E62A8F" w:rsidRPr="00CE04CA" w:rsidRDefault="00000000">
      <w:pPr>
        <w:spacing w:after="300"/>
        <w:rPr>
          <w:lang w:val="el-GR"/>
        </w:rPr>
      </w:pPr>
      <w:r w:rsidRPr="00CE04CA">
        <w:rPr>
          <w:color w:val="000000"/>
          <w:sz w:val="27"/>
          <w:lang w:val="el-GR"/>
        </w:rPr>
        <w:t>«Άρθρο 58 Περιστολή φαινομένων αθέμιτης κερδοφορίας</w:t>
      </w:r>
    </w:p>
    <w:p w14:paraId="5AD37BE4" w14:textId="77777777" w:rsidR="00E62A8F" w:rsidRPr="00CE04CA" w:rsidRDefault="00000000">
      <w:pPr>
        <w:spacing w:after="300"/>
        <w:rPr>
          <w:lang w:val="el-GR"/>
        </w:rPr>
      </w:pPr>
      <w:r w:rsidRPr="00CE04CA">
        <w:rPr>
          <w:color w:val="000000"/>
          <w:sz w:val="27"/>
          <w:lang w:val="el-GR"/>
        </w:rPr>
        <w:t>1. Για το χρονικό διάστημα από τη δημοσίευση του παρόντος και έως την 30ή Ιουνίου 2023, απαγορεύεται η</w:t>
      </w:r>
    </w:p>
    <w:p w14:paraId="7E44AFB1" w14:textId="77777777" w:rsidR="00E62A8F" w:rsidRPr="00CE04CA" w:rsidRDefault="00000000">
      <w:pPr>
        <w:spacing w:after="300"/>
        <w:rPr>
          <w:lang w:val="el-GR"/>
        </w:rPr>
      </w:pPr>
      <w:r w:rsidRPr="00CE04CA">
        <w:rPr>
          <w:color w:val="000000"/>
          <w:sz w:val="27"/>
          <w:lang w:val="el-GR"/>
        </w:rPr>
        <w:t>αποκόμιση μικτού κέρδους από την πώληση οποιουδήποτε προϊόντος ή την παροχή οποιασδήποτε υπηρεσίας που είναι απαραίτητη για την υγεία, τη διατροφή, τη διαβίωση, τη μετακίνηση και την ασφάλεια του καταναλωτή, καθώς και από την πώληση γεωργικών προϊόντων και τροφίμων, ιδίως πρώτων υλών για την παραγωγή λιπασμάτων, ζωοτροφών, ωμών δημητριακών παντός είδους, αλεύρων, ηλίανθου και φυτικών ελαίων, όταν το περιθώριο μικτού κέρδους ανά μονάδα υπερβαίνει το αντίστοιχο περιθώριο μικτού κέρδους ανά μονάδα προ της 1ης.9.2021.</w:t>
      </w:r>
    </w:p>
    <w:p w14:paraId="2C151FA6" w14:textId="77777777" w:rsidR="00E62A8F" w:rsidRPr="00CE04CA" w:rsidRDefault="00000000">
      <w:pPr>
        <w:spacing w:after="300"/>
        <w:rPr>
          <w:lang w:val="el-GR"/>
        </w:rPr>
      </w:pPr>
      <w:r w:rsidRPr="00CE04CA">
        <w:rPr>
          <w:color w:val="000000"/>
          <w:sz w:val="27"/>
          <w:lang w:val="el-GR"/>
        </w:rPr>
        <w:t>1Α. Για το χρονικό διάστημα από την έναρξη έως την ολοκλήρωση του προγράμματος «Αλλάζω Συσκευή», που προκηρύχθηκε με την υπό στοιχεία ΥΠΕΝ/ΕΣΠΑΕΝ/61929/864/17.6.2022 απόφαση του Υπουργού Περιβάλλοντος και Ενέργειας (Β’ 3099), απαγορεύεται η αποκόμιση μικτού κέρδους από την πώληση οποιουδήποτε προϊόντος που:</w:t>
      </w:r>
    </w:p>
    <w:p w14:paraId="416BF101" w14:textId="77777777" w:rsidR="00E62A8F" w:rsidRPr="00CE04CA" w:rsidRDefault="00000000">
      <w:pPr>
        <w:spacing w:after="300"/>
        <w:rPr>
          <w:lang w:val="el-GR"/>
        </w:rPr>
      </w:pPr>
      <w:r w:rsidRPr="00CE04CA">
        <w:rPr>
          <w:color w:val="000000"/>
          <w:sz w:val="27"/>
          <w:lang w:val="el-GR"/>
        </w:rPr>
        <w:t>α) πωλείται από προμηθευτή που έχει συμπεριληφθεί στο Μητρώο Εγκεκριμένων Προμηθευτών ή από έμπορο λιανικής, που συμμετέχει στο πρόγραμμα «Αλλάζω Συσκευή», ή</w:t>
      </w:r>
    </w:p>
    <w:p w14:paraId="65099B10" w14:textId="77777777" w:rsidR="00E62A8F" w:rsidRPr="00CE04CA" w:rsidRDefault="00000000">
      <w:pPr>
        <w:spacing w:after="300"/>
        <w:rPr>
          <w:lang w:val="el-GR"/>
        </w:rPr>
      </w:pPr>
      <w:r w:rsidRPr="00CE04CA">
        <w:rPr>
          <w:color w:val="000000"/>
          <w:sz w:val="27"/>
          <w:lang w:val="el-GR"/>
        </w:rPr>
        <w:t>β) έχει ενταχθεί στο Ενιαίο Μητρώο Εγκεκριμένου Εξοπλισμού της ως άνω απόφασης, όταν το περιθώριο μικτού κέρδους ανά μονάδα υπερβαίνει το αντίστοιχο περιθώριο μικτού κέρδους ανά μονάδα προ της 31ης.12.2021.</w:t>
      </w:r>
    </w:p>
    <w:p w14:paraId="3C8E9DA3" w14:textId="77777777" w:rsidR="00E62A8F" w:rsidRPr="00CE04CA" w:rsidRDefault="00000000">
      <w:pPr>
        <w:spacing w:after="300"/>
        <w:rPr>
          <w:lang w:val="el-GR"/>
        </w:rPr>
      </w:pPr>
      <w:r w:rsidRPr="00CE04CA">
        <w:rPr>
          <w:color w:val="000000"/>
          <w:sz w:val="27"/>
          <w:lang w:val="el-GR"/>
        </w:rPr>
        <w:lastRenderedPageBreak/>
        <w:t>1Β. Η παρ. 1 εφαρμόζεται και για τα στερεά καύσιμα κάθε είδους που χρησιμοποιούνται για τη θέρμανση χώρων. Για τα ως άνω αγαθά απαγορεύεται η αποκόμιση μικτού κέρδους από την πώλησή τους, όταν το περιθώριο μικτού κέρδους ανά μονάδα όγκου ή βάρους, ανάλογα με τον τρόπο πώλησης, υπερβαίνει το αντίστοιχο περιθώριο μικτού κέρδους ανά μονάδα όγκου ή βάρους προ της 1ης.11.2021.</w:t>
      </w:r>
    </w:p>
    <w:p w14:paraId="46425479" w14:textId="77777777" w:rsidR="00E62A8F" w:rsidRPr="00CE04CA" w:rsidRDefault="00000000">
      <w:pPr>
        <w:spacing w:after="300"/>
        <w:rPr>
          <w:lang w:val="el-GR"/>
        </w:rPr>
      </w:pPr>
      <w:r w:rsidRPr="00CE04CA">
        <w:rPr>
          <w:color w:val="000000"/>
          <w:sz w:val="27"/>
          <w:lang w:val="el-GR"/>
        </w:rPr>
        <w:t>2. Αρμόδιες αρχές για τη λήψη καταγγελιών και τη διαπίστωση παράβασης των παρ. 1, 1Α και 1Β, ορίζονται:</w:t>
      </w:r>
    </w:p>
    <w:p w14:paraId="79AF9320" w14:textId="77777777" w:rsidR="00E62A8F" w:rsidRPr="00CE04CA" w:rsidRDefault="00000000">
      <w:pPr>
        <w:spacing w:after="300"/>
        <w:rPr>
          <w:lang w:val="el-GR"/>
        </w:rPr>
      </w:pPr>
      <w:r w:rsidRPr="00CE04CA">
        <w:rPr>
          <w:color w:val="000000"/>
          <w:sz w:val="27"/>
          <w:lang w:val="el-GR"/>
        </w:rPr>
        <w:t>α) η Γενική Γραμματεία Εμπορίου του Υπουργείου Ανάπτυξης και Επενδύσεων,</w:t>
      </w:r>
    </w:p>
    <w:p w14:paraId="5FAC256A" w14:textId="77777777" w:rsidR="00E62A8F" w:rsidRPr="00CE04CA" w:rsidRDefault="00000000">
      <w:pPr>
        <w:spacing w:after="300"/>
        <w:rPr>
          <w:lang w:val="el-GR"/>
        </w:rPr>
      </w:pPr>
      <w:r w:rsidRPr="00CE04CA">
        <w:rPr>
          <w:color w:val="000000"/>
          <w:sz w:val="27"/>
          <w:lang w:val="el-GR"/>
        </w:rPr>
        <w:t>β) η Διυπηρεσιακή Μονάδα Ελέγχου της Αγοράς (ΔΙ.Μ.Ε.Α.), και</w:t>
      </w:r>
    </w:p>
    <w:p w14:paraId="6A2437D6" w14:textId="77777777" w:rsidR="00E62A8F" w:rsidRPr="00CE04CA" w:rsidRDefault="00000000">
      <w:pPr>
        <w:spacing w:after="300"/>
        <w:rPr>
          <w:lang w:val="el-GR"/>
        </w:rPr>
      </w:pPr>
      <w:r w:rsidRPr="00CE04CA">
        <w:rPr>
          <w:color w:val="000000"/>
          <w:sz w:val="27"/>
          <w:lang w:val="el-GR"/>
        </w:rPr>
        <w:t>γ) οι αρμόδιες υπηρεσίες ελέγχου των Περιφερειών. 3. Οι αρχές της παρ. 2 μπορούν να: α) αποκτούν πρόσβαση σε κάθε πληροφορία, δεδομένο και έγγραφο από οιαδήποτε πηγή που διευκολύνει τον έλεγχο οιασδήποτε πιθανολογούμενης παράβασης,</w:t>
      </w:r>
    </w:p>
    <w:p w14:paraId="0A7EEEE7" w14:textId="77777777" w:rsidR="00E62A8F" w:rsidRPr="00CE04CA" w:rsidRDefault="00000000">
      <w:pPr>
        <w:spacing w:after="300"/>
        <w:rPr>
          <w:lang w:val="el-GR"/>
        </w:rPr>
      </w:pPr>
      <w:r w:rsidRPr="00CE04CA">
        <w:rPr>
          <w:color w:val="000000"/>
          <w:sz w:val="27"/>
          <w:lang w:val="el-GR"/>
        </w:rPr>
        <w:t>β) διενεργούν έλεγχο, ο οποίος συμπεριλαμβάνει την πρόσβαση σε κάθε χώρο ή μέσο μεταφοράς που χρησιμοποιεί ο προμηθευτής, τον οποίον αφορά ο έλεγχος, ή να παραγγέλλουν ελέγχους που διενεργούνται από άλλες δημόσιες αρχές, προκειμένου να λαμβάνονται, να εξετάζονται και να κατάσχονται στοιχεία, δεδομένα ή έγγραφα που προκύπτουν κατά τη διάρκεια του ελέγχου, ανεξαρτήτως του μέσου αποθήκευσής τους,</w:t>
      </w:r>
    </w:p>
    <w:p w14:paraId="429FC572" w14:textId="77777777" w:rsidR="00E62A8F" w:rsidRPr="00CE04CA" w:rsidRDefault="00000000">
      <w:pPr>
        <w:spacing w:after="300"/>
        <w:rPr>
          <w:lang w:val="el-GR"/>
        </w:rPr>
      </w:pPr>
      <w:r w:rsidRPr="00CE04CA">
        <w:rPr>
          <w:color w:val="000000"/>
          <w:sz w:val="27"/>
          <w:lang w:val="el-GR"/>
        </w:rPr>
        <w:t>γ) διατηρούν στην κατοχή τους τα στοιχεία, τα δεδομένα και τα έγγραφα που προκύπτουν κατά τη διεξαγωγή του ελέγχου για όσο χρόνο και στον βαθμό που απαιτείται για την ομαλή διεκπεραίωση του ελέγχου,</w:t>
      </w:r>
    </w:p>
    <w:p w14:paraId="066682BB" w14:textId="77777777" w:rsidR="00E62A8F" w:rsidRPr="00CE04CA" w:rsidRDefault="00000000">
      <w:pPr>
        <w:spacing w:after="300"/>
        <w:rPr>
          <w:lang w:val="el-GR"/>
        </w:rPr>
      </w:pPr>
      <w:r w:rsidRPr="00CE04CA">
        <w:rPr>
          <w:color w:val="000000"/>
          <w:sz w:val="27"/>
          <w:lang w:val="el-GR"/>
        </w:rPr>
        <w:t>δ) αναζητούν την παροχή πληροφοριών όσον αφορά στα πραγματικά περιστατικά από κάθε εκπρόσωπο ή μέλος του προσωπικού του προμηθευτή που ελέγχεται, ο οποίος έχει την υποχρέωση να παρέχει πληροφορίες και εξηγήσεις όσον αφορά στα πραγματικά περιστατικά, τα δεδομένα ή τα έγγραφα που σχετίζονται με το αντικείμενο του ελέγχου.</w:t>
      </w:r>
    </w:p>
    <w:p w14:paraId="25B1EB05" w14:textId="77777777" w:rsidR="00E62A8F" w:rsidRPr="00CE04CA" w:rsidRDefault="00000000">
      <w:pPr>
        <w:spacing w:after="300"/>
        <w:rPr>
          <w:lang w:val="el-GR"/>
        </w:rPr>
      </w:pPr>
      <w:r w:rsidRPr="00CE04CA">
        <w:rPr>
          <w:color w:val="000000"/>
          <w:sz w:val="27"/>
          <w:lang w:val="el-GR"/>
        </w:rPr>
        <w:t xml:space="preserve">4. Με απόφαση του αρμοδίου οργάνου της Αρχής Ελέγχου της παρ. 2, επιβάλλονται σε βάρος οποιουδήποτε παραβαίνει τις απαγορεύσεις των παρ. 1, </w:t>
      </w:r>
      <w:r w:rsidRPr="00CE04CA">
        <w:rPr>
          <w:color w:val="000000"/>
          <w:sz w:val="27"/>
          <w:lang w:val="el-GR"/>
        </w:rPr>
        <w:lastRenderedPageBreak/>
        <w:t>1Α και 1Β, ανάλογα με τη βαρύτητα της παράβασης, σωρευτικά ή διαζευκτικά, κυρώσεις ως εξής:</w:t>
      </w:r>
    </w:p>
    <w:p w14:paraId="3591E34D" w14:textId="77777777" w:rsidR="00E62A8F" w:rsidRPr="00CE04CA" w:rsidRDefault="00000000">
      <w:pPr>
        <w:spacing w:after="300"/>
        <w:rPr>
          <w:lang w:val="el-GR"/>
        </w:rPr>
      </w:pPr>
      <w:r w:rsidRPr="00CE04CA">
        <w:rPr>
          <w:color w:val="000000"/>
          <w:sz w:val="27"/>
          <w:lang w:val="el-GR"/>
        </w:rPr>
        <w:t>α) σύσταση με σκοπό την παύση της παράνομης πρακτικής και τη συμμόρφωση εντός οριζόμενης με την απόφαση αποκλειστικής προθεσμίας, καθώς και την παράλειψή της στο μέλλον,</w:t>
      </w:r>
    </w:p>
    <w:p w14:paraId="38C9DB90" w14:textId="77777777" w:rsidR="00E62A8F" w:rsidRPr="00CE04CA" w:rsidRDefault="00000000">
      <w:pPr>
        <w:spacing w:after="300"/>
        <w:rPr>
          <w:lang w:val="el-GR"/>
        </w:rPr>
      </w:pPr>
      <w:r w:rsidRPr="00CE04CA">
        <w:rPr>
          <w:color w:val="000000"/>
          <w:sz w:val="27"/>
          <w:lang w:val="el-GR"/>
        </w:rPr>
        <w:t>β) πρόστιμο από πέντε χιλιάδες (5.000) έως ένα εκατομμύριο (1.000.000) ευρώ.</w:t>
      </w:r>
    </w:p>
    <w:p w14:paraId="32F8EDF1" w14:textId="77777777" w:rsidR="00E62A8F" w:rsidRPr="00CE04CA" w:rsidRDefault="00000000">
      <w:pPr>
        <w:spacing w:after="300"/>
        <w:rPr>
          <w:lang w:val="el-GR"/>
        </w:rPr>
      </w:pPr>
      <w:r w:rsidRPr="00CE04CA">
        <w:rPr>
          <w:color w:val="000000"/>
          <w:sz w:val="27"/>
          <w:lang w:val="el-GR"/>
        </w:rPr>
        <w:t>5. Με απόφαση του αρμοδίου οργάνου της Αρχής Ελέγχου της παρ. 2, επιβάλλονται σε βάρος του ελεγχόμενου προσώπου πρόστιμο έως πενήντα χιλιάδες (50.000) ευρώ, εάν αυτό αποκρύψει, παραποιήσει ή δεν προσκομίσει τα στοιχεία που ζητούνται από τις αρμόδιες αρχές ή παρεμποδίσει με οποιονδήποτε τρόπο την άσκηση των ελεγκτικών αρμοδιοτήτων της παρ. 3.</w:t>
      </w:r>
    </w:p>
    <w:p w14:paraId="12CD0D19" w14:textId="77777777" w:rsidR="00E62A8F" w:rsidRPr="00CE04CA" w:rsidRDefault="00000000">
      <w:pPr>
        <w:spacing w:after="300"/>
        <w:rPr>
          <w:lang w:val="el-GR"/>
        </w:rPr>
      </w:pPr>
      <w:r w:rsidRPr="00CE04CA">
        <w:rPr>
          <w:color w:val="000000"/>
          <w:sz w:val="27"/>
          <w:lang w:val="el-GR"/>
        </w:rPr>
        <w:t>6. Με απόφαση του Υπουργού Ανάπτυξης και Επενδύσεων μπορεί να εξειδικεύονται οι κατηγορίες των αγαθών της παρ. 1 και να καθορίζονται η διαδικασία του ελέγχου και της επιβολής των κυρώσεων των παρ. 4 και 5, η κλιμάκωση των προστίμων και κάθε άλλο ζήτημα που αφορά στην εφαρμογή του παρόντος.</w:t>
      </w:r>
    </w:p>
    <w:p w14:paraId="5F7C23B0" w14:textId="77777777" w:rsidR="00E62A8F" w:rsidRPr="00CE04CA" w:rsidRDefault="00000000">
      <w:pPr>
        <w:spacing w:after="300"/>
        <w:rPr>
          <w:lang w:val="el-GR"/>
        </w:rPr>
      </w:pPr>
      <w:r w:rsidRPr="00CE04CA">
        <w:rPr>
          <w:b/>
          <w:color w:val="000000"/>
          <w:sz w:val="27"/>
          <w:lang w:val="el-GR"/>
        </w:rPr>
        <w:t>7.</w:t>
      </w:r>
      <w:r w:rsidRPr="00CE04CA">
        <w:rPr>
          <w:color w:val="000000"/>
          <w:sz w:val="27"/>
          <w:lang w:val="el-GR"/>
        </w:rPr>
        <w:t>Με απόφαση του Υπουργού Ανάπτυξης και Επενδύσεων δίδεται η δυνατότητα καθορισμού ανώτατης τιμής πώλησης στους καταναλωτές για τα αγαθά και τις υπηρεσίες των παρ. 1 και 1Β.».</w:t>
      </w:r>
    </w:p>
    <w:sectPr w:rsidR="00E62A8F" w:rsidRPr="00CE04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1798326">
    <w:abstractNumId w:val="1"/>
  </w:num>
  <w:num w:numId="2" w16cid:durableId="206795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8F"/>
    <w:rsid w:val="002831E2"/>
    <w:rsid w:val="00CE04CA"/>
    <w:rsid w:val="00E62A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E4A3"/>
  <w15:docId w15:val="{A6291FBA-4C2D-47F0-A357-C343798E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Κεφαλίδα Char"/>
    <w:basedOn w:val="a0"/>
    <w:link w:val="a3"/>
    <w:uiPriority w:val="99"/>
    <w:rsid w:val="00841CD9"/>
  </w:style>
  <w:style w:type="character" w:customStyle="1" w:styleId="1Char">
    <w:name w:val="Επικεφαλίδα 1 Char"/>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sid w:val="00841CD9"/>
    <w:rPr>
      <w:rFonts w:asciiTheme="majorHAnsi" w:eastAsiaTheme="majorEastAsia" w:hAnsiTheme="majorHAnsi" w:cstheme="majorBidi"/>
      <w:b/>
      <w:bCs/>
      <w:color w:val="4472C4" w:themeColor="accent1"/>
    </w:rPr>
  </w:style>
  <w:style w:type="character" w:customStyle="1" w:styleId="4Char">
    <w:name w:val="Επικεφαλίδα 4 Char"/>
    <w:basedOn w:val="a0"/>
    <w:link w:val="4"/>
    <w:uiPriority w:val="9"/>
    <w:rsid w:val="00841CD9"/>
    <w:rPr>
      <w:rFonts w:asciiTheme="majorHAnsi" w:eastAsiaTheme="majorEastAsia" w:hAnsiTheme="majorHAnsi" w:cstheme="majorBidi"/>
      <w:b/>
      <w:bCs/>
      <w:i/>
      <w:iCs/>
      <w:color w:val="4472C4"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basedOn w:val="a0"/>
    <w:link w:val="a5"/>
    <w:uiPriority w:val="11"/>
    <w:rsid w:val="00841CD9"/>
    <w:rPr>
      <w:rFonts w:asciiTheme="majorHAnsi" w:eastAsiaTheme="majorEastAsia" w:hAnsiTheme="majorHAnsi" w:cstheme="majorBidi"/>
      <w:i/>
      <w:iCs/>
      <w:color w:val="4472C4" w:themeColor="accent1"/>
      <w:spacing w:val="15"/>
      <w:sz w:val="24"/>
      <w:szCs w:val="24"/>
    </w:rPr>
  </w:style>
  <w:style w:type="paragraph" w:styleId="a6">
    <w:name w:val="Title"/>
    <w:basedOn w:val="a"/>
    <w:next w:val="a"/>
    <w:link w:val="Char1"/>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1">
    <w:name w:val="Τίτλος Char"/>
    <w:basedOn w:val="a0"/>
    <w:link w:val="a6"/>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
    <w:name w:val="Hyperlink"/>
    <w:basedOn w:val="a0"/>
    <w:uiPriority w:val="99"/>
    <w:unhideWhenUsed/>
    <w:rPr>
      <w:color w:val="0563C1" w:themeColor="hyperlink"/>
      <w:u w:val="single"/>
    </w:rPr>
  </w:style>
  <w:style w:type="table" w:styleId="a8">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4034</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Νίκος Μαναγούδης</cp:lastModifiedBy>
  <cp:revision>2</cp:revision>
  <cp:lastPrinted>2023-01-04T10:09:00Z</cp:lastPrinted>
  <dcterms:created xsi:type="dcterms:W3CDTF">2023-01-05T11:09:00Z</dcterms:created>
  <dcterms:modified xsi:type="dcterms:W3CDTF">2023-01-05T11:09:00Z</dcterms:modified>
</cp:coreProperties>
</file>