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91F0" w14:textId="22878C7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D35058" w:rsidRDefault="004E663D" w:rsidP="001F48C8">
      <w:pPr>
        <w:spacing w:after="0" w:line="288" w:lineRule="auto"/>
        <w:ind w:right="43"/>
        <w:jc w:val="center"/>
        <w:rPr>
          <w:rFonts w:ascii="Times New Roman" w:hAnsi="Times New Roman" w:cs="Times New Roman"/>
          <w:b/>
          <w:sz w:val="44"/>
          <w:szCs w:val="44"/>
        </w:rPr>
      </w:pPr>
      <w:r w:rsidRPr="00D35058">
        <w:rPr>
          <w:rFonts w:ascii="Times New Roman" w:hAnsi="Times New Roman" w:cs="Times New Roman"/>
          <w:b/>
          <w:sz w:val="44"/>
          <w:szCs w:val="44"/>
        </w:rPr>
        <w:t xml:space="preserve">Μηνιαίο Ενημερωτικό Τεύχος </w:t>
      </w:r>
    </w:p>
    <w:p w14:paraId="49A4D73F" w14:textId="77777777" w:rsidR="004E663D" w:rsidRPr="00D35058" w:rsidRDefault="004E663D" w:rsidP="001F48C8">
      <w:pPr>
        <w:spacing w:after="0" w:line="288" w:lineRule="auto"/>
        <w:ind w:right="43"/>
        <w:jc w:val="center"/>
        <w:rPr>
          <w:rFonts w:ascii="Times New Roman" w:hAnsi="Times New Roman" w:cs="Times New Roman"/>
          <w:b/>
          <w:sz w:val="44"/>
          <w:szCs w:val="44"/>
        </w:rPr>
      </w:pPr>
      <w:r w:rsidRPr="00D35058">
        <w:rPr>
          <w:rFonts w:ascii="Times New Roman" w:hAnsi="Times New Roman" w:cs="Times New Roman"/>
          <w:b/>
          <w:sz w:val="44"/>
          <w:szCs w:val="44"/>
        </w:rPr>
        <w:t>Κεντρικής Ένωσης Επιμελητηρίων Ελλάδος</w:t>
      </w:r>
    </w:p>
    <w:p w14:paraId="303CF88B" w14:textId="77777777" w:rsidR="004E663D" w:rsidRPr="00D35058"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D35058" w:rsidRDefault="004E663D" w:rsidP="001F48C8">
      <w:pPr>
        <w:spacing w:after="0" w:line="288" w:lineRule="auto"/>
        <w:ind w:right="43"/>
        <w:jc w:val="center"/>
        <w:rPr>
          <w:rFonts w:ascii="Times New Roman" w:hAnsi="Times New Roman" w:cs="Times New Roman"/>
          <w:b/>
          <w:sz w:val="24"/>
          <w:szCs w:val="24"/>
        </w:rPr>
      </w:pPr>
    </w:p>
    <w:p w14:paraId="4580E821" w14:textId="51E44219" w:rsidR="004E663D" w:rsidRPr="00D35058" w:rsidRDefault="007F415A" w:rsidP="001F48C8">
      <w:pPr>
        <w:spacing w:after="0" w:line="288"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Νοέμβριος</w:t>
      </w:r>
      <w:r w:rsidR="000F266E" w:rsidRPr="00D35058">
        <w:rPr>
          <w:rFonts w:ascii="Times New Roman" w:hAnsi="Times New Roman" w:cs="Times New Roman"/>
          <w:b/>
          <w:sz w:val="32"/>
          <w:szCs w:val="32"/>
        </w:rPr>
        <w:t xml:space="preserve"> </w:t>
      </w:r>
      <w:r w:rsidR="004E663D" w:rsidRPr="00D35058">
        <w:rPr>
          <w:rFonts w:ascii="Times New Roman" w:hAnsi="Times New Roman" w:cs="Times New Roman"/>
          <w:b/>
          <w:sz w:val="32"/>
          <w:szCs w:val="32"/>
        </w:rPr>
        <w:t>2022</w:t>
      </w:r>
    </w:p>
    <w:p w14:paraId="040D43D8" w14:textId="0BF06E31" w:rsidR="00667BF1" w:rsidRPr="00D35058"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Default="004A6724" w:rsidP="001F48C8">
      <w:pPr>
        <w:spacing w:line="288" w:lineRule="auto"/>
        <w:rPr>
          <w:rFonts w:ascii="Times New Roman" w:hAnsi="Times New Roman" w:cs="Times New Roman"/>
          <w:bCs/>
          <w:sz w:val="24"/>
          <w:szCs w:val="24"/>
        </w:rPr>
      </w:pPr>
      <w:r>
        <w:rPr>
          <w:rFonts w:ascii="Times New Roman" w:hAnsi="Times New Roman" w:cs="Times New Roman"/>
          <w:bCs/>
          <w:sz w:val="24"/>
          <w:szCs w:val="24"/>
        </w:rPr>
        <w:br w:type="page"/>
      </w:r>
    </w:p>
    <w:sdt>
      <w:sdtPr>
        <w:rPr>
          <w:rFonts w:ascii="Times New Roman" w:eastAsia="Arial" w:hAnsi="Times New Roman" w:cs="Times New Roman"/>
          <w:b/>
          <w:bCs/>
          <w:noProof/>
          <w:color w:val="auto"/>
          <w:sz w:val="28"/>
          <w:szCs w:val="28"/>
          <w:lang w:eastAsia="en-US"/>
        </w:rPr>
        <w:id w:val="1559516850"/>
        <w:docPartObj>
          <w:docPartGallery w:val="Table of Contents"/>
          <w:docPartUnique/>
        </w:docPartObj>
      </w:sdtPr>
      <w:sdtEndPr>
        <w:rPr>
          <w:b w:val="0"/>
          <w:sz w:val="24"/>
          <w:szCs w:val="24"/>
        </w:rPr>
      </w:sdtEndPr>
      <w:sdtContent>
        <w:p w14:paraId="4278ED2B" w14:textId="3D7E2677" w:rsidR="008D455D" w:rsidRPr="0017646D" w:rsidRDefault="008D455D" w:rsidP="001F48C8">
          <w:pPr>
            <w:pStyle w:val="afd"/>
            <w:spacing w:before="0" w:line="288" w:lineRule="auto"/>
            <w:jc w:val="center"/>
            <w:rPr>
              <w:rFonts w:ascii="Times New Roman" w:hAnsi="Times New Roman" w:cs="Times New Roman"/>
              <w:b/>
              <w:bCs/>
              <w:color w:val="auto"/>
              <w:sz w:val="28"/>
              <w:szCs w:val="28"/>
              <w:u w:val="single"/>
            </w:rPr>
          </w:pPr>
          <w:r w:rsidRPr="0017646D">
            <w:rPr>
              <w:rFonts w:ascii="Times New Roman" w:hAnsi="Times New Roman" w:cs="Times New Roman"/>
              <w:b/>
              <w:bCs/>
              <w:color w:val="auto"/>
              <w:sz w:val="28"/>
              <w:szCs w:val="28"/>
              <w:u w:val="single"/>
            </w:rPr>
            <w:t>Πίνακας περιεχομένων</w:t>
          </w:r>
        </w:p>
        <w:p w14:paraId="2B967428" w14:textId="77777777" w:rsidR="00F55FBC" w:rsidRPr="00F55FBC" w:rsidRDefault="00F55FBC" w:rsidP="00F55FBC">
          <w:pPr>
            <w:rPr>
              <w:lang w:eastAsia="el-GR"/>
            </w:rPr>
          </w:pPr>
        </w:p>
        <w:p w14:paraId="533666A4" w14:textId="52317592" w:rsidR="00C114D1" w:rsidRDefault="008D455D">
          <w:pPr>
            <w:pStyle w:val="16"/>
            <w:rPr>
              <w:rFonts w:asciiTheme="minorHAnsi" w:eastAsiaTheme="minorEastAsia" w:hAnsiTheme="minorHAnsi" w:cstheme="minorBidi"/>
              <w:b w:val="0"/>
              <w:bCs w:val="0"/>
              <w:lang w:eastAsia="el-GR"/>
            </w:rPr>
          </w:pPr>
          <w:r w:rsidRPr="00F55FBC">
            <w:rPr>
              <w:rFonts w:ascii="Times New Roman" w:hAnsi="Times New Roman" w:cs="Times New Roman"/>
              <w:sz w:val="24"/>
              <w:szCs w:val="24"/>
            </w:rPr>
            <w:fldChar w:fldCharType="begin"/>
          </w:r>
          <w:r w:rsidRPr="00F55FBC">
            <w:rPr>
              <w:rFonts w:ascii="Times New Roman" w:hAnsi="Times New Roman" w:cs="Times New Roman"/>
              <w:sz w:val="24"/>
              <w:szCs w:val="24"/>
            </w:rPr>
            <w:instrText xml:space="preserve"> TOC \o "1-3" \h \z \u </w:instrText>
          </w:r>
          <w:r w:rsidRPr="00F55FBC">
            <w:rPr>
              <w:rFonts w:ascii="Times New Roman" w:hAnsi="Times New Roman" w:cs="Times New Roman"/>
              <w:sz w:val="24"/>
              <w:szCs w:val="24"/>
            </w:rPr>
            <w:fldChar w:fldCharType="separate"/>
          </w:r>
          <w:hyperlink w:anchor="_Toc122093592" w:history="1">
            <w:r w:rsidR="00C114D1" w:rsidRPr="00472E7B">
              <w:rPr>
                <w:rStyle w:val="-"/>
              </w:rPr>
              <w:t>1.</w:t>
            </w:r>
            <w:r w:rsidR="00C114D1">
              <w:rPr>
                <w:rFonts w:asciiTheme="minorHAnsi" w:eastAsiaTheme="minorEastAsia" w:hAnsiTheme="minorHAnsi" w:cstheme="minorBidi"/>
                <w:b w:val="0"/>
                <w:bCs w:val="0"/>
                <w:lang w:eastAsia="el-GR"/>
              </w:rPr>
              <w:tab/>
            </w:r>
            <w:r w:rsidR="00C114D1" w:rsidRPr="00472E7B">
              <w:rPr>
                <w:rStyle w:val="-"/>
                <w:rFonts w:asciiTheme="majorBidi" w:hAnsiTheme="majorBidi" w:cstheme="majorBidi"/>
              </w:rPr>
              <w:t xml:space="preserve">ΘΕΜΑΤΑ ΑΝΑΠΤΥΞΙΑΚΩΝ – ΧΡΗΜΑΤΟΔΟΤΙΚΩΝ </w:t>
            </w:r>
            <w:r w:rsidR="00C114D1" w:rsidRPr="00472E7B">
              <w:rPr>
                <w:rStyle w:val="-"/>
              </w:rPr>
              <w:t>ΠΡΟΓΡΑΜΜΑΤΩΝ</w:t>
            </w:r>
            <w:r w:rsidR="00C114D1">
              <w:rPr>
                <w:webHidden/>
              </w:rPr>
              <w:tab/>
            </w:r>
            <w:r w:rsidR="00C114D1">
              <w:rPr>
                <w:webHidden/>
              </w:rPr>
              <w:fldChar w:fldCharType="begin"/>
            </w:r>
            <w:r w:rsidR="00C114D1">
              <w:rPr>
                <w:webHidden/>
              </w:rPr>
              <w:instrText xml:space="preserve"> PAGEREF _Toc122093592 \h </w:instrText>
            </w:r>
            <w:r w:rsidR="00C114D1">
              <w:rPr>
                <w:webHidden/>
              </w:rPr>
            </w:r>
            <w:r w:rsidR="00C114D1">
              <w:rPr>
                <w:webHidden/>
              </w:rPr>
              <w:fldChar w:fldCharType="separate"/>
            </w:r>
            <w:r w:rsidR="00C114D1">
              <w:rPr>
                <w:webHidden/>
              </w:rPr>
              <w:t>3</w:t>
            </w:r>
            <w:r w:rsidR="00C114D1">
              <w:rPr>
                <w:webHidden/>
              </w:rPr>
              <w:fldChar w:fldCharType="end"/>
            </w:r>
          </w:hyperlink>
        </w:p>
        <w:p w14:paraId="690C8E26" w14:textId="286C0F3B" w:rsidR="00C114D1" w:rsidRDefault="00C114D1">
          <w:pPr>
            <w:pStyle w:val="26"/>
            <w:rPr>
              <w:rFonts w:asciiTheme="minorHAnsi" w:eastAsiaTheme="minorEastAsia" w:hAnsiTheme="minorHAnsi" w:cstheme="minorBidi"/>
              <w:bCs w:val="0"/>
              <w:lang w:eastAsia="el-GR"/>
            </w:rPr>
          </w:pPr>
          <w:hyperlink w:anchor="_Toc122093593" w:history="1">
            <w:r w:rsidRPr="00472E7B">
              <w:rPr>
                <w:rStyle w:val="-"/>
                <w:rFonts w:ascii="Times New Roman" w:hAnsi="Times New Roman" w:cs="Times New Roman"/>
                <w:b/>
              </w:rPr>
              <w:t>Α. Προδημοσίευση δέσμης Δράσεων «Ψηφιακός Μετασχηματισμός ΜμΕ»</w:t>
            </w:r>
            <w:r>
              <w:rPr>
                <w:webHidden/>
              </w:rPr>
              <w:tab/>
            </w:r>
            <w:r>
              <w:rPr>
                <w:webHidden/>
              </w:rPr>
              <w:fldChar w:fldCharType="begin"/>
            </w:r>
            <w:r>
              <w:rPr>
                <w:webHidden/>
              </w:rPr>
              <w:instrText xml:space="preserve"> PAGEREF _Toc122093593 \h </w:instrText>
            </w:r>
            <w:r>
              <w:rPr>
                <w:webHidden/>
              </w:rPr>
            </w:r>
            <w:r>
              <w:rPr>
                <w:webHidden/>
              </w:rPr>
              <w:fldChar w:fldCharType="separate"/>
            </w:r>
            <w:r>
              <w:rPr>
                <w:webHidden/>
              </w:rPr>
              <w:t>3</w:t>
            </w:r>
            <w:r>
              <w:rPr>
                <w:webHidden/>
              </w:rPr>
              <w:fldChar w:fldCharType="end"/>
            </w:r>
          </w:hyperlink>
        </w:p>
        <w:p w14:paraId="21B62937" w14:textId="42565B1C" w:rsidR="00C114D1" w:rsidRDefault="00C114D1">
          <w:pPr>
            <w:pStyle w:val="26"/>
            <w:rPr>
              <w:rFonts w:asciiTheme="minorHAnsi" w:eastAsiaTheme="minorEastAsia" w:hAnsiTheme="minorHAnsi" w:cstheme="minorBidi"/>
              <w:bCs w:val="0"/>
              <w:lang w:eastAsia="el-GR"/>
            </w:rPr>
          </w:pPr>
          <w:hyperlink w:anchor="_Toc122093594" w:history="1">
            <w:r w:rsidRPr="00472E7B">
              <w:rPr>
                <w:rStyle w:val="-"/>
                <w:rFonts w:ascii="Times New Roman" w:hAnsi="Times New Roman" w:cs="Times New Roman"/>
                <w:b/>
              </w:rPr>
              <w:t>Β. Πρόγραμμα Διασυνοριακής Συνεργασίας INTERREG VI-A GREECE-BULGARIA 2021-2027 (2021TC16RFCB021)</w:t>
            </w:r>
            <w:r>
              <w:rPr>
                <w:webHidden/>
              </w:rPr>
              <w:tab/>
            </w:r>
            <w:r>
              <w:rPr>
                <w:webHidden/>
              </w:rPr>
              <w:fldChar w:fldCharType="begin"/>
            </w:r>
            <w:r>
              <w:rPr>
                <w:webHidden/>
              </w:rPr>
              <w:instrText xml:space="preserve"> PAGEREF _Toc122093594 \h </w:instrText>
            </w:r>
            <w:r>
              <w:rPr>
                <w:webHidden/>
              </w:rPr>
            </w:r>
            <w:r>
              <w:rPr>
                <w:webHidden/>
              </w:rPr>
              <w:fldChar w:fldCharType="separate"/>
            </w:r>
            <w:r>
              <w:rPr>
                <w:webHidden/>
              </w:rPr>
              <w:t>14</w:t>
            </w:r>
            <w:r>
              <w:rPr>
                <w:webHidden/>
              </w:rPr>
              <w:fldChar w:fldCharType="end"/>
            </w:r>
          </w:hyperlink>
        </w:p>
        <w:p w14:paraId="6457DB8D" w14:textId="7CD4A697" w:rsidR="00C114D1" w:rsidRDefault="00C114D1">
          <w:pPr>
            <w:pStyle w:val="16"/>
            <w:rPr>
              <w:rFonts w:asciiTheme="minorHAnsi" w:eastAsiaTheme="minorEastAsia" w:hAnsiTheme="minorHAnsi" w:cstheme="minorBidi"/>
              <w:b w:val="0"/>
              <w:bCs w:val="0"/>
              <w:lang w:eastAsia="el-GR"/>
            </w:rPr>
          </w:pPr>
          <w:hyperlink w:anchor="_Toc122093595" w:history="1">
            <w:r w:rsidRPr="00472E7B">
              <w:rPr>
                <w:rStyle w:val="-"/>
                <w:rFonts w:asciiTheme="majorBidi" w:hAnsiTheme="majorBidi" w:cstheme="majorBidi"/>
              </w:rPr>
              <w:t>2.</w:t>
            </w:r>
            <w:r>
              <w:rPr>
                <w:rFonts w:asciiTheme="minorHAnsi" w:eastAsiaTheme="minorEastAsia" w:hAnsiTheme="minorHAnsi" w:cstheme="minorBidi"/>
                <w:b w:val="0"/>
                <w:bCs w:val="0"/>
                <w:lang w:eastAsia="el-GR"/>
              </w:rPr>
              <w:tab/>
            </w:r>
            <w:r w:rsidRPr="00472E7B">
              <w:rPr>
                <w:rStyle w:val="-"/>
                <w:rFonts w:asciiTheme="majorBidi" w:hAnsiTheme="majorBidi" w:cstheme="majorBidi"/>
              </w:rPr>
              <w:t>ΘΕΜΑΤΑ ΧΩΡΟΤΑΞΙΑΣ /ΠΟΛΕΟΔΟΜΙΚΑ ΘΕΜΑΤΑ</w:t>
            </w:r>
            <w:r>
              <w:rPr>
                <w:webHidden/>
              </w:rPr>
              <w:tab/>
            </w:r>
            <w:r>
              <w:rPr>
                <w:webHidden/>
              </w:rPr>
              <w:fldChar w:fldCharType="begin"/>
            </w:r>
            <w:r>
              <w:rPr>
                <w:webHidden/>
              </w:rPr>
              <w:instrText xml:space="preserve"> PAGEREF _Toc122093595 \h </w:instrText>
            </w:r>
            <w:r>
              <w:rPr>
                <w:webHidden/>
              </w:rPr>
            </w:r>
            <w:r>
              <w:rPr>
                <w:webHidden/>
              </w:rPr>
              <w:fldChar w:fldCharType="separate"/>
            </w:r>
            <w:r>
              <w:rPr>
                <w:webHidden/>
              </w:rPr>
              <w:t>18</w:t>
            </w:r>
            <w:r>
              <w:rPr>
                <w:webHidden/>
              </w:rPr>
              <w:fldChar w:fldCharType="end"/>
            </w:r>
          </w:hyperlink>
        </w:p>
        <w:p w14:paraId="198E8F62" w14:textId="20F0B044" w:rsidR="00C114D1" w:rsidRDefault="00C114D1">
          <w:pPr>
            <w:pStyle w:val="26"/>
            <w:rPr>
              <w:rFonts w:asciiTheme="minorHAnsi" w:eastAsiaTheme="minorEastAsia" w:hAnsiTheme="minorHAnsi" w:cstheme="minorBidi"/>
              <w:bCs w:val="0"/>
              <w:lang w:eastAsia="el-GR"/>
            </w:rPr>
          </w:pPr>
          <w:hyperlink w:anchor="_Toc122093596" w:history="1">
            <w:r w:rsidRPr="00472E7B">
              <w:rPr>
                <w:rStyle w:val="-"/>
                <w:rFonts w:ascii="Times New Roman" w:hAnsi="Times New Roman" w:cs="Times New Roman"/>
                <w:b/>
              </w:rPr>
              <w:t>Α. Εγκύκλιος του Υπουργείου Περιβάλλοντος &amp; Ενέργειας για την εκτός σχεδίου δόμηση &amp; την εφαρμογή του κεφαλαίου Γ’ του Ν.4759/2020 (Α’ 245)</w:t>
            </w:r>
            <w:r>
              <w:rPr>
                <w:webHidden/>
              </w:rPr>
              <w:tab/>
            </w:r>
            <w:r>
              <w:rPr>
                <w:webHidden/>
              </w:rPr>
              <w:fldChar w:fldCharType="begin"/>
            </w:r>
            <w:r>
              <w:rPr>
                <w:webHidden/>
              </w:rPr>
              <w:instrText xml:space="preserve"> PAGEREF _Toc122093596 \h </w:instrText>
            </w:r>
            <w:r>
              <w:rPr>
                <w:webHidden/>
              </w:rPr>
            </w:r>
            <w:r>
              <w:rPr>
                <w:webHidden/>
              </w:rPr>
              <w:fldChar w:fldCharType="separate"/>
            </w:r>
            <w:r>
              <w:rPr>
                <w:webHidden/>
              </w:rPr>
              <w:t>18</w:t>
            </w:r>
            <w:r>
              <w:rPr>
                <w:webHidden/>
              </w:rPr>
              <w:fldChar w:fldCharType="end"/>
            </w:r>
          </w:hyperlink>
        </w:p>
        <w:p w14:paraId="0D1F704E" w14:textId="3E6F0AB5" w:rsidR="00C114D1" w:rsidRDefault="00C114D1">
          <w:pPr>
            <w:pStyle w:val="26"/>
            <w:rPr>
              <w:rFonts w:asciiTheme="minorHAnsi" w:eastAsiaTheme="minorEastAsia" w:hAnsiTheme="minorHAnsi" w:cstheme="minorBidi"/>
              <w:bCs w:val="0"/>
              <w:lang w:eastAsia="el-GR"/>
            </w:rPr>
          </w:pPr>
          <w:hyperlink w:anchor="_Toc122093597" w:history="1">
            <w:r w:rsidRPr="00472E7B">
              <w:rPr>
                <w:rStyle w:val="-"/>
                <w:rFonts w:ascii="Times New Roman" w:hAnsi="Times New Roman" w:cs="Times New Roman"/>
                <w:b/>
                <w:lang w:val="en-US"/>
              </w:rPr>
              <w:t>B</w:t>
            </w:r>
            <w:r w:rsidRPr="00472E7B">
              <w:rPr>
                <w:rStyle w:val="-"/>
                <w:rFonts w:ascii="Times New Roman" w:hAnsi="Times New Roman" w:cs="Times New Roman"/>
                <w:b/>
              </w:rPr>
              <w:t>. Υποχρεωτική προσβασιμότητα ΑΜΕΑ τη νέα χρονιά σε όλα τα κτίρια</w:t>
            </w:r>
            <w:r>
              <w:rPr>
                <w:webHidden/>
              </w:rPr>
              <w:tab/>
            </w:r>
            <w:r>
              <w:rPr>
                <w:webHidden/>
              </w:rPr>
              <w:fldChar w:fldCharType="begin"/>
            </w:r>
            <w:r>
              <w:rPr>
                <w:webHidden/>
              </w:rPr>
              <w:instrText xml:space="preserve"> PAGEREF _Toc122093597 \h </w:instrText>
            </w:r>
            <w:r>
              <w:rPr>
                <w:webHidden/>
              </w:rPr>
            </w:r>
            <w:r>
              <w:rPr>
                <w:webHidden/>
              </w:rPr>
              <w:fldChar w:fldCharType="separate"/>
            </w:r>
            <w:r>
              <w:rPr>
                <w:webHidden/>
              </w:rPr>
              <w:t>20</w:t>
            </w:r>
            <w:r>
              <w:rPr>
                <w:webHidden/>
              </w:rPr>
              <w:fldChar w:fldCharType="end"/>
            </w:r>
          </w:hyperlink>
        </w:p>
        <w:p w14:paraId="0A2421AD" w14:textId="1F4F48C6" w:rsidR="00C114D1" w:rsidRDefault="00C114D1">
          <w:pPr>
            <w:pStyle w:val="16"/>
            <w:rPr>
              <w:rFonts w:asciiTheme="minorHAnsi" w:eastAsiaTheme="minorEastAsia" w:hAnsiTheme="minorHAnsi" w:cstheme="minorBidi"/>
              <w:b w:val="0"/>
              <w:bCs w:val="0"/>
              <w:lang w:eastAsia="el-GR"/>
            </w:rPr>
          </w:pPr>
          <w:hyperlink w:anchor="_Toc122093598" w:history="1">
            <w:r w:rsidRPr="00472E7B">
              <w:rPr>
                <w:rStyle w:val="-"/>
                <w:rFonts w:asciiTheme="majorBidi" w:hAnsiTheme="majorBidi" w:cstheme="majorBidi"/>
              </w:rPr>
              <w:t>3.</w:t>
            </w:r>
            <w:r>
              <w:rPr>
                <w:rFonts w:asciiTheme="minorHAnsi" w:eastAsiaTheme="minorEastAsia" w:hAnsiTheme="minorHAnsi" w:cstheme="minorBidi"/>
                <w:b w:val="0"/>
                <w:bCs w:val="0"/>
                <w:lang w:eastAsia="el-GR"/>
              </w:rPr>
              <w:tab/>
            </w:r>
            <w:r w:rsidRPr="00472E7B">
              <w:rPr>
                <w:rStyle w:val="-"/>
                <w:rFonts w:asciiTheme="majorBidi" w:hAnsiTheme="majorBidi" w:cstheme="majorBidi"/>
              </w:rPr>
              <w:t>ΘΕΜΑΤΑ ΑΝΑΠΤΥΞΗΣ ΑΝΘΡΩΠΙΝΟΥ ΔΥΝΑΜΙΚΟΥ</w:t>
            </w:r>
            <w:r>
              <w:rPr>
                <w:webHidden/>
              </w:rPr>
              <w:tab/>
            </w:r>
            <w:r>
              <w:rPr>
                <w:webHidden/>
              </w:rPr>
              <w:fldChar w:fldCharType="begin"/>
            </w:r>
            <w:r>
              <w:rPr>
                <w:webHidden/>
              </w:rPr>
              <w:instrText xml:space="preserve"> PAGEREF _Toc122093598 \h </w:instrText>
            </w:r>
            <w:r>
              <w:rPr>
                <w:webHidden/>
              </w:rPr>
            </w:r>
            <w:r>
              <w:rPr>
                <w:webHidden/>
              </w:rPr>
              <w:fldChar w:fldCharType="separate"/>
            </w:r>
            <w:r>
              <w:rPr>
                <w:webHidden/>
              </w:rPr>
              <w:t>29</w:t>
            </w:r>
            <w:r>
              <w:rPr>
                <w:webHidden/>
              </w:rPr>
              <w:fldChar w:fldCharType="end"/>
            </w:r>
          </w:hyperlink>
        </w:p>
        <w:p w14:paraId="272CAC50" w14:textId="7FA48039" w:rsidR="00C114D1" w:rsidRDefault="00C114D1">
          <w:pPr>
            <w:pStyle w:val="26"/>
            <w:rPr>
              <w:rFonts w:asciiTheme="minorHAnsi" w:eastAsiaTheme="minorEastAsia" w:hAnsiTheme="minorHAnsi" w:cstheme="minorBidi"/>
              <w:bCs w:val="0"/>
              <w:lang w:eastAsia="el-GR"/>
            </w:rPr>
          </w:pPr>
          <w:hyperlink w:anchor="_Toc122093599" w:history="1">
            <w:r w:rsidRPr="00472E7B">
              <w:rPr>
                <w:rStyle w:val="-"/>
                <w:rFonts w:ascii="Times New Roman" w:hAnsi="Times New Roman" w:cs="Times New Roman"/>
                <w:b/>
              </w:rPr>
              <w:t>Α. «Θετική Ηγεσία» σε οργανισμούς και δημόσιους φορείς</w:t>
            </w:r>
            <w:r>
              <w:rPr>
                <w:webHidden/>
              </w:rPr>
              <w:tab/>
            </w:r>
            <w:r>
              <w:rPr>
                <w:webHidden/>
              </w:rPr>
              <w:fldChar w:fldCharType="begin"/>
            </w:r>
            <w:r>
              <w:rPr>
                <w:webHidden/>
              </w:rPr>
              <w:instrText xml:space="preserve"> PAGEREF _Toc122093599 \h </w:instrText>
            </w:r>
            <w:r>
              <w:rPr>
                <w:webHidden/>
              </w:rPr>
            </w:r>
            <w:r>
              <w:rPr>
                <w:webHidden/>
              </w:rPr>
              <w:fldChar w:fldCharType="separate"/>
            </w:r>
            <w:r>
              <w:rPr>
                <w:webHidden/>
              </w:rPr>
              <w:t>29</w:t>
            </w:r>
            <w:r>
              <w:rPr>
                <w:webHidden/>
              </w:rPr>
              <w:fldChar w:fldCharType="end"/>
            </w:r>
          </w:hyperlink>
        </w:p>
        <w:p w14:paraId="77DB30F5" w14:textId="0EA2BB37" w:rsidR="00C114D1" w:rsidRDefault="00C114D1">
          <w:pPr>
            <w:pStyle w:val="16"/>
            <w:rPr>
              <w:rFonts w:asciiTheme="minorHAnsi" w:eastAsiaTheme="minorEastAsia" w:hAnsiTheme="minorHAnsi" w:cstheme="minorBidi"/>
              <w:b w:val="0"/>
              <w:bCs w:val="0"/>
              <w:lang w:eastAsia="el-GR"/>
            </w:rPr>
          </w:pPr>
          <w:hyperlink w:anchor="_Toc122093600" w:history="1">
            <w:r w:rsidRPr="00472E7B">
              <w:rPr>
                <w:rStyle w:val="-"/>
                <w:rFonts w:asciiTheme="majorBidi" w:hAnsiTheme="majorBidi" w:cstheme="majorBidi"/>
              </w:rPr>
              <w:t>4.</w:t>
            </w:r>
            <w:r>
              <w:rPr>
                <w:rFonts w:asciiTheme="minorHAnsi" w:eastAsiaTheme="minorEastAsia" w:hAnsiTheme="minorHAnsi" w:cstheme="minorBidi"/>
                <w:b w:val="0"/>
                <w:bCs w:val="0"/>
                <w:lang w:eastAsia="el-GR"/>
              </w:rPr>
              <w:tab/>
            </w:r>
            <w:r w:rsidRPr="00472E7B">
              <w:rPr>
                <w:rStyle w:val="-"/>
                <w:rFonts w:asciiTheme="majorBidi" w:hAnsiTheme="majorBidi" w:cstheme="majorBidi"/>
              </w:rPr>
              <w:t>ΘΕΜΑΤΑ ΥΓΕΙΑΣ &amp; ΑΣΦΑΛΕΙΑΣ ΣΤΗΝ ΕΡΓΑΣΙΑ</w:t>
            </w:r>
            <w:r>
              <w:rPr>
                <w:webHidden/>
              </w:rPr>
              <w:tab/>
            </w:r>
            <w:r>
              <w:rPr>
                <w:webHidden/>
              </w:rPr>
              <w:fldChar w:fldCharType="begin"/>
            </w:r>
            <w:r>
              <w:rPr>
                <w:webHidden/>
              </w:rPr>
              <w:instrText xml:space="preserve"> PAGEREF _Toc122093600 \h </w:instrText>
            </w:r>
            <w:r>
              <w:rPr>
                <w:webHidden/>
              </w:rPr>
            </w:r>
            <w:r>
              <w:rPr>
                <w:webHidden/>
              </w:rPr>
              <w:fldChar w:fldCharType="separate"/>
            </w:r>
            <w:r>
              <w:rPr>
                <w:webHidden/>
              </w:rPr>
              <w:t>31</w:t>
            </w:r>
            <w:r>
              <w:rPr>
                <w:webHidden/>
              </w:rPr>
              <w:fldChar w:fldCharType="end"/>
            </w:r>
          </w:hyperlink>
        </w:p>
        <w:p w14:paraId="2EF2142D" w14:textId="7D0F3EA5" w:rsidR="00C114D1" w:rsidRDefault="00C114D1">
          <w:pPr>
            <w:pStyle w:val="26"/>
            <w:rPr>
              <w:rFonts w:asciiTheme="minorHAnsi" w:eastAsiaTheme="minorEastAsia" w:hAnsiTheme="minorHAnsi" w:cstheme="minorBidi"/>
              <w:bCs w:val="0"/>
              <w:lang w:eastAsia="el-GR"/>
            </w:rPr>
          </w:pPr>
          <w:hyperlink w:anchor="_Toc122093601" w:history="1">
            <w:r w:rsidRPr="00472E7B">
              <w:rPr>
                <w:rStyle w:val="-"/>
                <w:rFonts w:ascii="Times New Roman" w:hAnsi="Times New Roman" w:cs="Times New Roman"/>
                <w:b/>
              </w:rPr>
              <w:t>Α. Χειρισμός μηχανημάτων έργου: νέες ρυθμίσεις για την άσκηση επαγγελματικής δραστηριότητας.</w:t>
            </w:r>
            <w:r>
              <w:rPr>
                <w:webHidden/>
              </w:rPr>
              <w:tab/>
            </w:r>
            <w:r>
              <w:rPr>
                <w:webHidden/>
              </w:rPr>
              <w:fldChar w:fldCharType="begin"/>
            </w:r>
            <w:r>
              <w:rPr>
                <w:webHidden/>
              </w:rPr>
              <w:instrText xml:space="preserve"> PAGEREF _Toc122093601 \h </w:instrText>
            </w:r>
            <w:r>
              <w:rPr>
                <w:webHidden/>
              </w:rPr>
            </w:r>
            <w:r>
              <w:rPr>
                <w:webHidden/>
              </w:rPr>
              <w:fldChar w:fldCharType="separate"/>
            </w:r>
            <w:r>
              <w:rPr>
                <w:webHidden/>
              </w:rPr>
              <w:t>31</w:t>
            </w:r>
            <w:r>
              <w:rPr>
                <w:webHidden/>
              </w:rPr>
              <w:fldChar w:fldCharType="end"/>
            </w:r>
          </w:hyperlink>
        </w:p>
        <w:p w14:paraId="6BBF192C" w14:textId="17FCCEDA" w:rsidR="00554204" w:rsidRPr="00F55FBC" w:rsidRDefault="008D455D" w:rsidP="00CE53B8">
          <w:pPr>
            <w:pStyle w:val="26"/>
            <w:rPr>
              <w:rFonts w:ascii="Times New Roman" w:hAnsi="Times New Roman" w:cs="Times New Roman"/>
              <w:sz w:val="24"/>
              <w:szCs w:val="24"/>
            </w:rPr>
          </w:pPr>
          <w:r w:rsidRPr="00F55FBC">
            <w:rPr>
              <w:rFonts w:ascii="Times New Roman" w:hAnsi="Times New Roman" w:cs="Times New Roman"/>
              <w:sz w:val="24"/>
              <w:szCs w:val="24"/>
            </w:rPr>
            <w:fldChar w:fldCharType="end"/>
          </w:r>
        </w:p>
      </w:sdtContent>
    </w:sdt>
    <w:p w14:paraId="78397C19" w14:textId="77777777" w:rsidR="00467942" w:rsidRPr="00D35058" w:rsidRDefault="00467942" w:rsidP="001F48C8">
      <w:pPr>
        <w:spacing w:line="288" w:lineRule="auto"/>
        <w:rPr>
          <w:rFonts w:ascii="Times New Roman" w:eastAsia="Times New Roman" w:hAnsi="Times New Roman" w:cs="Times New Roman"/>
          <w:b/>
          <w:bCs/>
          <w:sz w:val="24"/>
          <w:szCs w:val="24"/>
          <w:lang w:eastAsia="el-GR"/>
        </w:rPr>
      </w:pPr>
      <w:r w:rsidRPr="00D35058">
        <w:rPr>
          <w:rFonts w:ascii="Times New Roman" w:hAnsi="Times New Roman" w:cs="Times New Roman"/>
        </w:rPr>
        <w:br w:type="page"/>
      </w:r>
    </w:p>
    <w:p w14:paraId="170EE085" w14:textId="1DA47EA5" w:rsidR="00231BB0" w:rsidRPr="00D35058" w:rsidRDefault="00502C43" w:rsidP="00500A24">
      <w:pPr>
        <w:pStyle w:val="10"/>
        <w:numPr>
          <w:ilvl w:val="8"/>
          <w:numId w:val="9"/>
        </w:numPr>
        <w:shd w:val="clear" w:color="auto" w:fill="D9E2F3" w:themeFill="accent1" w:themeFillTint="33"/>
        <w:spacing w:before="240" w:after="120" w:line="288" w:lineRule="auto"/>
        <w:ind w:left="284" w:right="326" w:firstLine="0"/>
        <w:jc w:val="center"/>
      </w:pPr>
      <w:bookmarkStart w:id="0" w:name="_Toc122093592"/>
      <w:r w:rsidRPr="00394B84">
        <w:rPr>
          <w:rFonts w:asciiTheme="majorBidi" w:hAnsiTheme="majorBidi" w:cstheme="majorBidi"/>
        </w:rPr>
        <w:lastRenderedPageBreak/>
        <w:t xml:space="preserve">ΘΕΜΑΤΑ ΑΝΑΠΤΥΞΙΑΚΩΝ – ΧΡΗΜΑΤΟΔΟΤΙΚΩΝ </w:t>
      </w:r>
      <w:r>
        <w:t>ΠΡΟΓΡΑΜΜΑΤΩΝ</w:t>
      </w:r>
      <w:bookmarkEnd w:id="0"/>
    </w:p>
    <w:p w14:paraId="179E870F" w14:textId="6B85BC6C" w:rsidR="003A7925" w:rsidRPr="003A7925" w:rsidRDefault="003A7925" w:rsidP="003A7925">
      <w:pPr>
        <w:pStyle w:val="20"/>
        <w:shd w:val="clear" w:color="auto" w:fill="D9D9D9" w:themeFill="background1" w:themeFillShade="D9"/>
        <w:spacing w:before="0" w:after="240" w:line="288" w:lineRule="auto"/>
        <w:ind w:left="284" w:right="323"/>
        <w:jc w:val="center"/>
        <w:rPr>
          <w:rFonts w:ascii="Times New Roman" w:hAnsi="Times New Roman" w:cs="Times New Roman"/>
          <w:b/>
          <w:bCs/>
          <w:color w:val="auto"/>
          <w:sz w:val="24"/>
          <w:szCs w:val="24"/>
        </w:rPr>
      </w:pPr>
      <w:bookmarkStart w:id="1" w:name="_Toc122093593"/>
      <w:r>
        <w:rPr>
          <w:rFonts w:ascii="Times New Roman" w:hAnsi="Times New Roman" w:cs="Times New Roman"/>
          <w:b/>
          <w:bCs/>
          <w:color w:val="auto"/>
          <w:sz w:val="24"/>
          <w:szCs w:val="24"/>
        </w:rPr>
        <w:t>Α</w:t>
      </w:r>
      <w:r w:rsidRPr="003D3C95">
        <w:rPr>
          <w:rFonts w:ascii="Times New Roman" w:hAnsi="Times New Roman" w:cs="Times New Roman"/>
          <w:b/>
          <w:bCs/>
          <w:color w:val="auto"/>
          <w:sz w:val="24"/>
          <w:szCs w:val="24"/>
        </w:rPr>
        <w:t xml:space="preserve">. </w:t>
      </w:r>
      <w:r w:rsidRPr="003A7925">
        <w:rPr>
          <w:rFonts w:ascii="Times New Roman" w:hAnsi="Times New Roman" w:cs="Times New Roman"/>
          <w:b/>
          <w:bCs/>
          <w:color w:val="auto"/>
          <w:sz w:val="24"/>
          <w:szCs w:val="24"/>
        </w:rPr>
        <w:t xml:space="preserve">Προδημοσίευση δέσμης Δράσεων «Ψηφιακός Μετασχηματισμός </w:t>
      </w:r>
      <w:proofErr w:type="spellStart"/>
      <w:r w:rsidRPr="003A7925">
        <w:rPr>
          <w:rFonts w:ascii="Times New Roman" w:hAnsi="Times New Roman" w:cs="Times New Roman"/>
          <w:b/>
          <w:bCs/>
          <w:color w:val="auto"/>
          <w:sz w:val="24"/>
          <w:szCs w:val="24"/>
        </w:rPr>
        <w:t>ΜμΕ</w:t>
      </w:r>
      <w:proofErr w:type="spellEnd"/>
      <w:r w:rsidRPr="003A7925">
        <w:rPr>
          <w:rFonts w:ascii="Times New Roman" w:hAnsi="Times New Roman" w:cs="Times New Roman"/>
          <w:b/>
          <w:bCs/>
          <w:color w:val="auto"/>
          <w:sz w:val="24"/>
          <w:szCs w:val="24"/>
        </w:rPr>
        <w:t>»</w:t>
      </w:r>
      <w:bookmarkEnd w:id="1"/>
    </w:p>
    <w:p w14:paraId="37B005DE" w14:textId="067DD30A" w:rsidR="003A7925" w:rsidRPr="00CB218B" w:rsidRDefault="003A7925" w:rsidP="003A7925">
      <w:pPr>
        <w:pStyle w:val="af0"/>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Προδημοσιεύτηκε η δέσμη Δράσεων κρατικών ενισχύσεων «Ψηφιακός Μετασχηματισμός </w:t>
      </w:r>
      <w:proofErr w:type="spellStart"/>
      <w:r w:rsidRPr="00CB218B">
        <w:rPr>
          <w:rFonts w:ascii="Times New Roman" w:hAnsi="Times New Roman" w:cs="Times New Roman"/>
          <w:sz w:val="24"/>
          <w:szCs w:val="24"/>
        </w:rPr>
        <w:t>ΜμΕ</w:t>
      </w:r>
      <w:proofErr w:type="spellEnd"/>
      <w:r w:rsidRPr="00CB218B">
        <w:rPr>
          <w:rFonts w:ascii="Times New Roman" w:hAnsi="Times New Roman" w:cs="Times New Roman"/>
          <w:sz w:val="24"/>
          <w:szCs w:val="24"/>
        </w:rPr>
        <w:t xml:space="preserve">» στο Πρόγραμμα «Ανταγωνιστικότητα» του ΕΣΠΑ 2021-2027, η οποία είναι </w:t>
      </w:r>
      <w:r w:rsidRPr="00CB218B">
        <w:rPr>
          <w:rFonts w:ascii="Times New Roman" w:hAnsi="Times New Roman" w:cs="Times New Roman"/>
          <w:b/>
          <w:bCs/>
          <w:sz w:val="24"/>
          <w:szCs w:val="24"/>
        </w:rPr>
        <w:t>προϋπολογισμού 300.000.000 €</w:t>
      </w:r>
      <w:r w:rsidRPr="00CB218B">
        <w:rPr>
          <w:rFonts w:ascii="Times New Roman" w:hAnsi="Times New Roman" w:cs="Times New Roman"/>
          <w:sz w:val="24"/>
          <w:szCs w:val="24"/>
        </w:rPr>
        <w:t xml:space="preserve"> και στοχεύει στην αντιμετώπιση της υστέρησης των ελληνικών επιχειρήσεων στην υιοθέτηση και ενσωμάτωση των σύγχρονων ψηφιακών τεχνολογιών στην παραγωγική τους δραστηριότητα και καλύπτει </w:t>
      </w:r>
      <w:proofErr w:type="spellStart"/>
      <w:r w:rsidRPr="00CB218B">
        <w:rPr>
          <w:rFonts w:ascii="Times New Roman" w:hAnsi="Times New Roman" w:cs="Times New Roman"/>
          <w:sz w:val="24"/>
          <w:szCs w:val="24"/>
        </w:rPr>
        <w:t>στοχευμένες</w:t>
      </w:r>
      <w:proofErr w:type="spellEnd"/>
      <w:r w:rsidRPr="00CB218B">
        <w:rPr>
          <w:rFonts w:ascii="Times New Roman" w:hAnsi="Times New Roman" w:cs="Times New Roman"/>
          <w:sz w:val="24"/>
          <w:szCs w:val="24"/>
        </w:rPr>
        <w:t xml:space="preserve"> ανάγκες των </w:t>
      </w:r>
      <w:proofErr w:type="spellStart"/>
      <w:r w:rsidRPr="00CB218B">
        <w:rPr>
          <w:rFonts w:ascii="Times New Roman" w:hAnsi="Times New Roman" w:cs="Times New Roman"/>
          <w:sz w:val="24"/>
          <w:szCs w:val="24"/>
        </w:rPr>
        <w:t>ΜμΕ</w:t>
      </w:r>
      <w:proofErr w:type="spellEnd"/>
      <w:r w:rsidRPr="00CB218B">
        <w:rPr>
          <w:rFonts w:ascii="Times New Roman" w:hAnsi="Times New Roman" w:cs="Times New Roman"/>
          <w:sz w:val="24"/>
          <w:szCs w:val="24"/>
        </w:rPr>
        <w:t xml:space="preserve"> ανάλογα με την υφιστάμενη ψηφιακή και τεχνολογική ωριμότητά τους, αλλά και τις διαφορετικές επενδυτικές ανάγκες τους.</w:t>
      </w:r>
      <w:r w:rsidR="00590AE5" w:rsidRPr="00CB218B">
        <w:rPr>
          <w:rFonts w:ascii="Times New Roman" w:hAnsi="Times New Roman" w:cs="Times New Roman"/>
          <w:sz w:val="24"/>
          <w:szCs w:val="24"/>
        </w:rPr>
        <w:t xml:space="preserve"> Η δέσμη δράσεων έχει ως εξής:</w:t>
      </w:r>
    </w:p>
    <w:p w14:paraId="2A25B416" w14:textId="77777777" w:rsidR="00590AE5" w:rsidRPr="00CB218B" w:rsidRDefault="00590AE5" w:rsidP="00CB218B">
      <w:pPr>
        <w:pStyle w:val="a7"/>
        <w:numPr>
          <w:ilvl w:val="0"/>
          <w:numId w:val="19"/>
        </w:numPr>
        <w:spacing w:after="120" w:line="288" w:lineRule="auto"/>
        <w:ind w:right="468"/>
        <w:contextualSpacing w:val="0"/>
        <w:jc w:val="both"/>
        <w:rPr>
          <w:rFonts w:ascii="Times New Roman" w:hAnsi="Times New Roman" w:cs="Times New Roman"/>
          <w:bCs/>
          <w:sz w:val="24"/>
          <w:szCs w:val="24"/>
          <w:lang w:val="el-GR" w:eastAsia="el-GR"/>
        </w:rPr>
      </w:pPr>
      <w:r w:rsidRPr="00CB218B">
        <w:rPr>
          <w:rFonts w:ascii="Times New Roman" w:hAnsi="Times New Roman" w:cs="Times New Roman"/>
          <w:b/>
          <w:sz w:val="24"/>
          <w:szCs w:val="24"/>
          <w:lang w:val="el-GR" w:eastAsia="el-GR"/>
        </w:rPr>
        <w:t xml:space="preserve">Δράση 1 - Βασικός Ψηφιακός Μετασχηματισμός </w:t>
      </w:r>
      <w:proofErr w:type="spellStart"/>
      <w:r w:rsidRPr="00CB218B">
        <w:rPr>
          <w:rFonts w:ascii="Times New Roman" w:hAnsi="Times New Roman" w:cs="Times New Roman"/>
          <w:b/>
          <w:sz w:val="24"/>
          <w:szCs w:val="24"/>
          <w:lang w:val="el-GR" w:eastAsia="el-GR"/>
        </w:rPr>
        <w:t>ΜμΕ</w:t>
      </w:r>
      <w:proofErr w:type="spellEnd"/>
      <w:r w:rsidRPr="00CB218B">
        <w:rPr>
          <w:rFonts w:ascii="Times New Roman" w:hAnsi="Times New Roman" w:cs="Times New Roman"/>
          <w:bCs/>
          <w:sz w:val="24"/>
          <w:szCs w:val="24"/>
          <w:lang w:val="el-GR" w:eastAsia="el-GR"/>
        </w:rPr>
        <w:t>: αφορά επιχειρήσεις οι οποίες δεν έχουν ακόμα ενσωματώσει σημαντικές τεχνολογίες πληροφορικής και τηλεπικοινωνιών (ΤΠΕ) στην λειτουργία τους και στοχεύουν στην κάλυψη βασικών ελλείψεων σε εφαρμογές και εξοπλισμό.</w:t>
      </w:r>
    </w:p>
    <w:p w14:paraId="037A75FB" w14:textId="77777777" w:rsidR="00590AE5" w:rsidRPr="00CB218B" w:rsidRDefault="00590AE5" w:rsidP="00CB218B">
      <w:pPr>
        <w:pStyle w:val="a7"/>
        <w:numPr>
          <w:ilvl w:val="0"/>
          <w:numId w:val="19"/>
        </w:numPr>
        <w:spacing w:after="120" w:line="288" w:lineRule="auto"/>
        <w:ind w:right="468"/>
        <w:contextualSpacing w:val="0"/>
        <w:jc w:val="both"/>
        <w:rPr>
          <w:rFonts w:ascii="Times New Roman" w:hAnsi="Times New Roman" w:cs="Times New Roman"/>
          <w:bCs/>
          <w:sz w:val="24"/>
          <w:szCs w:val="24"/>
          <w:lang w:val="el-GR" w:eastAsia="el-GR"/>
        </w:rPr>
      </w:pPr>
      <w:r w:rsidRPr="00CB218B">
        <w:rPr>
          <w:rFonts w:ascii="Times New Roman" w:hAnsi="Times New Roman" w:cs="Times New Roman"/>
          <w:b/>
          <w:sz w:val="24"/>
          <w:szCs w:val="24"/>
          <w:lang w:val="el-GR" w:eastAsia="el-GR"/>
        </w:rPr>
        <w:t xml:space="preserve">Δράση 2 - Προηγμένος Ψηφιακός Μετασχηματισμός </w:t>
      </w:r>
      <w:proofErr w:type="spellStart"/>
      <w:r w:rsidRPr="00CB218B">
        <w:rPr>
          <w:rFonts w:ascii="Times New Roman" w:hAnsi="Times New Roman" w:cs="Times New Roman"/>
          <w:b/>
          <w:sz w:val="24"/>
          <w:szCs w:val="24"/>
          <w:lang w:val="el-GR" w:eastAsia="el-GR"/>
        </w:rPr>
        <w:t>ΜμΕ</w:t>
      </w:r>
      <w:proofErr w:type="spellEnd"/>
      <w:r w:rsidRPr="00CB218B">
        <w:rPr>
          <w:rFonts w:ascii="Times New Roman" w:hAnsi="Times New Roman" w:cs="Times New Roman"/>
          <w:bCs/>
          <w:sz w:val="24"/>
          <w:szCs w:val="24"/>
          <w:lang w:val="el-GR" w:eastAsia="el-GR"/>
        </w:rPr>
        <w:t>: αφορά επιχειρήσεις οι οποίες στοχεύουν στη διεύρυνση της ψηφιακής και τεχνολογικής τους ωριμότητας με ολοκληρωμένες επενδύσεις σε νέες ΤΠΕ που θα αναβαθμίσουν την ανταγωνιστικότητα τους.</w:t>
      </w:r>
    </w:p>
    <w:p w14:paraId="0C0CC453" w14:textId="77777777" w:rsidR="00590AE5" w:rsidRPr="00CB218B" w:rsidRDefault="00590AE5" w:rsidP="00CB218B">
      <w:pPr>
        <w:pStyle w:val="a7"/>
        <w:numPr>
          <w:ilvl w:val="0"/>
          <w:numId w:val="19"/>
        </w:numPr>
        <w:spacing w:after="120" w:line="288" w:lineRule="auto"/>
        <w:ind w:right="468"/>
        <w:contextualSpacing w:val="0"/>
        <w:jc w:val="both"/>
        <w:rPr>
          <w:rFonts w:ascii="Times New Roman" w:hAnsi="Times New Roman" w:cs="Times New Roman"/>
          <w:bCs/>
          <w:sz w:val="24"/>
          <w:szCs w:val="24"/>
          <w:lang w:val="el-GR" w:eastAsia="el-GR"/>
        </w:rPr>
      </w:pPr>
      <w:r w:rsidRPr="00CB218B">
        <w:rPr>
          <w:rFonts w:ascii="Times New Roman" w:hAnsi="Times New Roman" w:cs="Times New Roman"/>
          <w:b/>
          <w:sz w:val="24"/>
          <w:szCs w:val="24"/>
          <w:lang w:val="el-GR" w:eastAsia="el-GR"/>
        </w:rPr>
        <w:t xml:space="preserve">Δράση 3 - Ψηφιακός Μετασχηματισμός Αιχμής </w:t>
      </w:r>
      <w:proofErr w:type="spellStart"/>
      <w:r w:rsidRPr="00CB218B">
        <w:rPr>
          <w:rFonts w:ascii="Times New Roman" w:hAnsi="Times New Roman" w:cs="Times New Roman"/>
          <w:b/>
          <w:sz w:val="24"/>
          <w:szCs w:val="24"/>
          <w:lang w:val="el-GR" w:eastAsia="el-GR"/>
        </w:rPr>
        <w:t>ΜμΕ</w:t>
      </w:r>
      <w:proofErr w:type="spellEnd"/>
      <w:r w:rsidRPr="00CB218B">
        <w:rPr>
          <w:rFonts w:ascii="Times New Roman" w:hAnsi="Times New Roman" w:cs="Times New Roman"/>
          <w:bCs/>
          <w:sz w:val="24"/>
          <w:szCs w:val="24"/>
          <w:lang w:val="el-GR" w:eastAsia="el-GR"/>
        </w:rPr>
        <w:t>: αφορά επιχειρήσεις που έχουν ενσωματώσει ήδη ΤΠΕ σε πολλές λειτουργίες τους και πλέον επιδιώκουν να υλοποιήσουν ολοκληρωμένες επενδύσεις σε τεχνολογίες αιχμής ή σε λύσεις 4ης βιομηχανικής επανάστασης.</w:t>
      </w:r>
    </w:p>
    <w:p w14:paraId="4897C6C2" w14:textId="6FAC1F0C" w:rsidR="00590AE5" w:rsidRPr="00CB218B" w:rsidRDefault="00590AE5" w:rsidP="00590AE5">
      <w:pPr>
        <w:pStyle w:val="af0"/>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Αναλυτικότερα:</w:t>
      </w:r>
    </w:p>
    <w:p w14:paraId="6D163659" w14:textId="77777777" w:rsidR="00D167A0" w:rsidRPr="00CB218B" w:rsidRDefault="00D167A0" w:rsidP="00D167A0">
      <w:pPr>
        <w:pStyle w:val="af0"/>
        <w:spacing w:line="288" w:lineRule="auto"/>
        <w:ind w:left="284" w:right="323"/>
        <w:jc w:val="both"/>
        <w:rPr>
          <w:rFonts w:ascii="Times New Roman" w:hAnsi="Times New Roman" w:cs="Times New Roman"/>
          <w:b/>
          <w:bCs/>
          <w:sz w:val="24"/>
          <w:szCs w:val="24"/>
        </w:rPr>
      </w:pPr>
    </w:p>
    <w:p w14:paraId="76DDF10F" w14:textId="7562DF1C" w:rsidR="003A7925" w:rsidRPr="00CB218B" w:rsidRDefault="003A7925" w:rsidP="00590AE5">
      <w:pPr>
        <w:pStyle w:val="af0"/>
        <w:spacing w:line="288" w:lineRule="auto"/>
        <w:ind w:left="284" w:right="323"/>
        <w:jc w:val="center"/>
        <w:rPr>
          <w:rFonts w:ascii="Times New Roman" w:hAnsi="Times New Roman" w:cs="Times New Roman"/>
          <w:b/>
          <w:bCs/>
          <w:sz w:val="24"/>
          <w:szCs w:val="24"/>
        </w:rPr>
      </w:pPr>
      <w:r w:rsidRPr="00CB218B">
        <w:rPr>
          <w:rFonts w:ascii="Times New Roman" w:hAnsi="Times New Roman" w:cs="Times New Roman"/>
          <w:b/>
          <w:bCs/>
          <w:sz w:val="24"/>
          <w:szCs w:val="24"/>
        </w:rPr>
        <w:t xml:space="preserve">ΔΡΑΣΗ 1 - «ΒΑΣΙΚΟΣ ΨΗΦΙΑΚΟΣ ΜΕΤΑΣΧΗΜΑΤΙΣΜΟΣ </w:t>
      </w:r>
      <w:proofErr w:type="spellStart"/>
      <w:r w:rsidRPr="00CB218B">
        <w:rPr>
          <w:rFonts w:ascii="Times New Roman" w:hAnsi="Times New Roman" w:cs="Times New Roman"/>
          <w:b/>
          <w:bCs/>
          <w:sz w:val="24"/>
          <w:szCs w:val="24"/>
        </w:rPr>
        <w:t>ΜμΕ</w:t>
      </w:r>
      <w:proofErr w:type="spellEnd"/>
      <w:r w:rsidRPr="00CB218B">
        <w:rPr>
          <w:rFonts w:ascii="Times New Roman" w:hAnsi="Times New Roman" w:cs="Times New Roman"/>
          <w:b/>
          <w:bCs/>
          <w:sz w:val="24"/>
          <w:szCs w:val="24"/>
        </w:rPr>
        <w:t>»</w:t>
      </w:r>
    </w:p>
    <w:p w14:paraId="3B75BD5E" w14:textId="77777777" w:rsidR="003A7925" w:rsidRPr="00CB218B" w:rsidRDefault="003A7925" w:rsidP="00D167A0">
      <w:pPr>
        <w:pStyle w:val="af0"/>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Βασικός στόχος της Δράσης 1 - ΒΑΣΙΚΟΣ ΨΗΦΙΑΚΟΣ ΜΕΤΑΣΧΗΜΑΤΙΣΜΟΣ </w:t>
      </w:r>
      <w:proofErr w:type="spellStart"/>
      <w:r w:rsidRPr="00CB218B">
        <w:rPr>
          <w:rFonts w:ascii="Times New Roman" w:hAnsi="Times New Roman" w:cs="Times New Roman"/>
          <w:sz w:val="24"/>
          <w:szCs w:val="24"/>
        </w:rPr>
        <w:t>ΜμΕ</w:t>
      </w:r>
      <w:proofErr w:type="spellEnd"/>
      <w:r w:rsidRPr="00CB218B">
        <w:rPr>
          <w:rFonts w:ascii="Times New Roman" w:hAnsi="Times New Roman" w:cs="Times New Roman"/>
          <w:sz w:val="24"/>
          <w:szCs w:val="24"/>
        </w:rPr>
        <w:t xml:space="preserve"> είναι </w:t>
      </w:r>
      <w:r w:rsidRPr="00CB218B">
        <w:rPr>
          <w:rFonts w:ascii="Times New Roman" w:hAnsi="Times New Roman" w:cs="Times New Roman"/>
          <w:b/>
          <w:bCs/>
          <w:sz w:val="24"/>
          <w:szCs w:val="24"/>
        </w:rPr>
        <w:t xml:space="preserve">η ψηφιακή αναβάθμιση των </w:t>
      </w:r>
      <w:proofErr w:type="spellStart"/>
      <w:r w:rsidRPr="00CB218B">
        <w:rPr>
          <w:rFonts w:ascii="Times New Roman" w:hAnsi="Times New Roman" w:cs="Times New Roman"/>
          <w:b/>
          <w:bCs/>
          <w:sz w:val="24"/>
          <w:szCs w:val="24"/>
        </w:rPr>
        <w:t>ΜμΕ</w:t>
      </w:r>
      <w:proofErr w:type="spellEnd"/>
      <w:r w:rsidRPr="00CB218B">
        <w:rPr>
          <w:rFonts w:ascii="Times New Roman" w:hAnsi="Times New Roman" w:cs="Times New Roman"/>
          <w:sz w:val="24"/>
          <w:szCs w:val="24"/>
        </w:rPr>
        <w:t xml:space="preserve"> </w:t>
      </w:r>
      <w:r w:rsidRPr="00CB218B">
        <w:rPr>
          <w:rFonts w:ascii="Times New Roman" w:hAnsi="Times New Roman" w:cs="Times New Roman"/>
          <w:b/>
          <w:bCs/>
          <w:sz w:val="24"/>
          <w:szCs w:val="24"/>
        </w:rPr>
        <w:t>με την υλοποίηση βασικών ενεργειών ψηφιακού μετασχηματισμού</w:t>
      </w:r>
      <w:r w:rsidRPr="00CB218B">
        <w:rPr>
          <w:rFonts w:ascii="Times New Roman" w:hAnsi="Times New Roman" w:cs="Times New Roman"/>
          <w:sz w:val="24"/>
          <w:szCs w:val="24"/>
        </w:rPr>
        <w:t xml:space="preserve"> ώστε οι ενισχυόμενες επιχειρήσεις να είναι σε θέση να ανταποκριθούν στις αυξημένες ψηφιακές απαιτήσεις της σύγχρονης αγοράς. Η Δράση ενθαρρύνει, κατά προτεραιότητα, την υλοποίηση </w:t>
      </w:r>
      <w:proofErr w:type="spellStart"/>
      <w:r w:rsidRPr="00CB218B">
        <w:rPr>
          <w:rFonts w:ascii="Times New Roman" w:hAnsi="Times New Roman" w:cs="Times New Roman"/>
          <w:sz w:val="24"/>
          <w:szCs w:val="24"/>
        </w:rPr>
        <w:t>στοχευμένων</w:t>
      </w:r>
      <w:proofErr w:type="spellEnd"/>
      <w:r w:rsidRPr="00CB218B">
        <w:rPr>
          <w:rFonts w:ascii="Times New Roman" w:hAnsi="Times New Roman" w:cs="Times New Roman"/>
          <w:sz w:val="24"/>
          <w:szCs w:val="24"/>
        </w:rPr>
        <w:t xml:space="preserve"> ενεργειών ψηφιακού μετασχηματισμού που συνεισφέρουν σε μία εξωστρεφή, καινοτόμα, ανταγωνιστική και βιώσιμη κρίσιμη παραγωγή προϊόντων και υπηρεσιών υψηλότερης προστιθέμενης αξίας.</w:t>
      </w:r>
    </w:p>
    <w:p w14:paraId="2EEE8ECC" w14:textId="77777777" w:rsidR="003A7925" w:rsidRPr="00CB218B" w:rsidRDefault="003A7925" w:rsidP="00D167A0">
      <w:pPr>
        <w:pStyle w:val="af0"/>
        <w:spacing w:line="288" w:lineRule="auto"/>
        <w:ind w:left="284" w:right="323"/>
        <w:jc w:val="both"/>
        <w:rPr>
          <w:rFonts w:ascii="Times New Roman" w:hAnsi="Times New Roman" w:cs="Times New Roman"/>
          <w:sz w:val="24"/>
          <w:szCs w:val="24"/>
          <w:u w:val="single"/>
        </w:rPr>
      </w:pPr>
      <w:r w:rsidRPr="00CB218B">
        <w:rPr>
          <w:rFonts w:ascii="Times New Roman" w:hAnsi="Times New Roman" w:cs="Times New Roman"/>
          <w:sz w:val="24"/>
          <w:szCs w:val="24"/>
          <w:u w:val="single"/>
        </w:rPr>
        <w:t>Επιλέξιμες Επιχειρήσεις - Προϋποθέσεις Συμμετοχής</w:t>
      </w:r>
    </w:p>
    <w:p w14:paraId="3681C7E2" w14:textId="77777777"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lastRenderedPageBreak/>
        <w:t>Δικαιούχοι στη δράση είναι οι υφιστάμενες μεσαίες, μικρές και πολύ μικρές επιχειρήσεις υπό τις παρακάτω προϋποθέσεις:</w:t>
      </w:r>
    </w:p>
    <w:p w14:paraId="2BDE056B" w14:textId="7DD5E3B3"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1. Να υποβάλλουν μία και μοναδική αίτηση χρηματοδότησης ανά ΑΦΜ, να λειτουργούν νόμιμα διαθέτοντας την κατάλληλη άδεια λειτουργίας και να υλοποιήσουν την επένδυση αποκλειστικά σε μία μόνο Περιφέρεια.</w:t>
      </w:r>
    </w:p>
    <w:p w14:paraId="7F829BF4" w14:textId="72C1DE0F"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2. Να τηρούν Απλογραφικά ή Διπλογραφικά βιβλία και να έχουν τουλάχιστον μία (1) πλήρη κλεισμένη διαχειριστική χρήση, και να λειτουργούν αποκλειστικά ως επιχειρήσεις εταιρικού/εμπορικού χαρακτήρα.</w:t>
      </w:r>
    </w:p>
    <w:p w14:paraId="50A5E7C9" w14:textId="0F4F730B"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3. Να δραστηριοποιούνται στον επιλέξιμο ΚΑΔ του επενδυτικού σχεδίου για τουλάχιστον ένα (1) έτος, σύμφωνα με τον πίνακα που θα αναρτηθεί στην προκήρυξη.</w:t>
      </w:r>
    </w:p>
    <w:p w14:paraId="07B9E583" w14:textId="0B15B0A8"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4. Να διαθέτουν τουλάχιστον πέντε (5) ΕΜΕ κατά το έτος που προηγείται της υποβολής αίτησης χρηματοδότησης.</w:t>
      </w:r>
    </w:p>
    <w:p w14:paraId="01A67DC1" w14:textId="21167A80"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5. Να μην βρίσκονται υπό πτώχευση, εκκαθάριση ή αναγκαστική διαχείριση.</w:t>
      </w:r>
    </w:p>
    <w:p w14:paraId="6B32FA33" w14:textId="4C463413"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6. Να μην έχει ολοκληρωθεί το φυσικό αντικείμενο της επένδυσης ή να μην έχει υλοποιηθεί πλήρως πριν από την υποβολή της αίτησης χρηματοδότησης.</w:t>
      </w:r>
    </w:p>
    <w:p w14:paraId="1DB5735D" w14:textId="4C6210F9" w:rsidR="00C240C6"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7. Να πληρούν τις προϋποθέσεις εφαρμογής του Καν. ΕΕ 1407/2013 (De </w:t>
      </w:r>
      <w:proofErr w:type="spellStart"/>
      <w:r w:rsidRPr="00CB218B">
        <w:rPr>
          <w:rFonts w:ascii="Times New Roman" w:hAnsi="Times New Roman" w:cs="Times New Roman"/>
          <w:sz w:val="24"/>
          <w:szCs w:val="24"/>
        </w:rPr>
        <w:t>Minimis</w:t>
      </w:r>
      <w:proofErr w:type="spellEnd"/>
      <w:r w:rsidRPr="00CB218B">
        <w:rPr>
          <w:rFonts w:ascii="Times New Roman" w:hAnsi="Times New Roman" w:cs="Times New Roman"/>
          <w:sz w:val="24"/>
          <w:szCs w:val="24"/>
        </w:rPr>
        <w:t>).</w:t>
      </w:r>
    </w:p>
    <w:p w14:paraId="69320190" w14:textId="77777777" w:rsidR="00CB218B" w:rsidRPr="00CB218B" w:rsidRDefault="00CB218B" w:rsidP="00C240C6">
      <w:pPr>
        <w:pStyle w:val="af0"/>
        <w:tabs>
          <w:tab w:val="left" w:pos="8222"/>
        </w:tabs>
        <w:spacing w:line="288" w:lineRule="auto"/>
        <w:ind w:left="284" w:right="323"/>
        <w:jc w:val="both"/>
        <w:rPr>
          <w:rFonts w:ascii="Times New Roman" w:hAnsi="Times New Roman" w:cs="Times New Roman"/>
          <w:sz w:val="24"/>
          <w:szCs w:val="24"/>
        </w:rPr>
      </w:pPr>
    </w:p>
    <w:p w14:paraId="415A9611"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u w:val="single"/>
        </w:rPr>
      </w:pPr>
      <w:r w:rsidRPr="00CB218B">
        <w:rPr>
          <w:rFonts w:ascii="Times New Roman" w:hAnsi="Times New Roman" w:cs="Times New Roman"/>
          <w:sz w:val="24"/>
          <w:szCs w:val="24"/>
          <w:u w:val="single"/>
        </w:rPr>
        <w:t>Προϋπολογισμός και Διάρκεια Έργων</w:t>
      </w:r>
    </w:p>
    <w:p w14:paraId="5B24506C" w14:textId="77777777"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Ο επιλέξιμος προϋπολογισμός δεν δύναται να υπερβαίνει το τριπλάσιο του υψηλότερου κύκλου εργασιών που επετεύχθη σε μία από τις τρεις (ή λιγότερες εφόσον η επιχείρηση δεν διαθέτει τρεις) διαχειριστικές περιόδους που προηγούνται του έτους της υποβολής της αίτησης χρηματοδότησης, με ανώτατο όριο το ποσό των </w:t>
      </w:r>
      <w:r w:rsidRPr="00CB218B">
        <w:rPr>
          <w:rFonts w:ascii="Times New Roman" w:hAnsi="Times New Roman" w:cs="Times New Roman"/>
          <w:b/>
          <w:bCs/>
          <w:sz w:val="24"/>
          <w:szCs w:val="24"/>
        </w:rPr>
        <w:t>30.000,00€</w:t>
      </w:r>
      <w:r w:rsidRPr="00CB218B">
        <w:rPr>
          <w:rFonts w:ascii="Times New Roman" w:hAnsi="Times New Roman" w:cs="Times New Roman"/>
          <w:sz w:val="24"/>
          <w:szCs w:val="24"/>
        </w:rPr>
        <w:t xml:space="preserve"> και δεν δύναται να είναι μικρότερος των </w:t>
      </w:r>
      <w:r w:rsidRPr="00CB218B">
        <w:rPr>
          <w:rFonts w:ascii="Times New Roman" w:hAnsi="Times New Roman" w:cs="Times New Roman"/>
          <w:b/>
          <w:bCs/>
          <w:sz w:val="24"/>
          <w:szCs w:val="24"/>
        </w:rPr>
        <w:t>18.000,00€.</w:t>
      </w:r>
    </w:p>
    <w:p w14:paraId="51D873F2"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Η Δράση συγχρηματοδοτείται από την Ευρωπαϊκή Ένωση, ειδικότερα από το Ευρωπαϊκό Ταμείο Περιφερειακής Ανάπτυξης (ΕΤΠΑ) και από το Ελληνικό Δημόσιο. Για λόγους μεγαλύτερης συμπληρωματικότητας η χρηματοδότηση γίνεται με χρήση της Κοινής Στήριξης (άρθρο 25 του Κανονισμού (ΕΕ) 2021/1060) για τη χρηματοδότηση παρεμβάσεων που εμπίπτουν στο πεδίο ενισχύσεων του ΕΚΤ+.</w:t>
      </w:r>
    </w:p>
    <w:p w14:paraId="77E4EF9D" w14:textId="5B7B291D" w:rsidR="003A7925" w:rsidRDefault="003A7925" w:rsidP="00D167A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Η μέγιστη διάρκεια ολοκλήρωσης φυσικού και οικονομικού αντικειμένου θα ορισθεί στην Αναλυτική Πρόσκληση της Δράσης, ωστόσο δεν αναμένεται να υπερβαίνει τους εννέα (9) μήνες από την ημερομηνία έκδοσης της Απόφασης Έγκρισης.</w:t>
      </w:r>
    </w:p>
    <w:p w14:paraId="1EE53520" w14:textId="5A33BC34" w:rsidR="00CB218B" w:rsidRDefault="00CB218B" w:rsidP="00D167A0">
      <w:pPr>
        <w:pStyle w:val="af0"/>
        <w:tabs>
          <w:tab w:val="left" w:pos="8222"/>
        </w:tabs>
        <w:spacing w:line="288" w:lineRule="auto"/>
        <w:ind w:left="284" w:right="323"/>
        <w:jc w:val="both"/>
        <w:rPr>
          <w:rFonts w:ascii="Times New Roman" w:hAnsi="Times New Roman" w:cs="Times New Roman"/>
          <w:sz w:val="24"/>
          <w:szCs w:val="24"/>
        </w:rPr>
      </w:pPr>
    </w:p>
    <w:p w14:paraId="1D0012C0" w14:textId="77777777"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u w:val="single"/>
        </w:rPr>
      </w:pPr>
      <w:r w:rsidRPr="00CB218B">
        <w:rPr>
          <w:rFonts w:ascii="Times New Roman" w:hAnsi="Times New Roman" w:cs="Times New Roman"/>
          <w:sz w:val="24"/>
          <w:szCs w:val="24"/>
          <w:u w:val="single"/>
        </w:rPr>
        <w:lastRenderedPageBreak/>
        <w:t>Ένταση ενίσχυσης</w:t>
      </w:r>
    </w:p>
    <w:tbl>
      <w:tblPr>
        <w:tblStyle w:val="ab"/>
        <w:tblW w:w="7938" w:type="dxa"/>
        <w:tblInd w:w="279" w:type="dxa"/>
        <w:tblLook w:val="04A0" w:firstRow="1" w:lastRow="0" w:firstColumn="1" w:lastColumn="0" w:noHBand="0" w:noVBand="1"/>
      </w:tblPr>
      <w:tblGrid>
        <w:gridCol w:w="2977"/>
        <w:gridCol w:w="2409"/>
        <w:gridCol w:w="2552"/>
      </w:tblGrid>
      <w:tr w:rsidR="00C240C6" w:rsidRPr="00C240C6" w14:paraId="64827690" w14:textId="77777777" w:rsidTr="00C240C6">
        <w:tc>
          <w:tcPr>
            <w:tcW w:w="7938" w:type="dxa"/>
            <w:gridSpan w:val="3"/>
          </w:tcPr>
          <w:p w14:paraId="26DC179C" w14:textId="77777777" w:rsidR="00C240C6" w:rsidRPr="00C240C6" w:rsidRDefault="00C240C6" w:rsidP="007362CD">
            <w:pPr>
              <w:pStyle w:val="Default"/>
              <w:jc w:val="center"/>
              <w:rPr>
                <w:rFonts w:ascii="Times New Roman" w:hAnsi="Times New Roman" w:cs="Times New Roman"/>
                <w:b/>
                <w:bCs/>
                <w:sz w:val="22"/>
                <w:szCs w:val="22"/>
                <w:lang w:val="el-GR"/>
              </w:rPr>
            </w:pPr>
            <w:r w:rsidRPr="00C240C6">
              <w:rPr>
                <w:rFonts w:ascii="Times New Roman" w:hAnsi="Times New Roman" w:cs="Times New Roman"/>
                <w:b/>
                <w:bCs/>
                <w:sz w:val="22"/>
                <w:szCs w:val="22"/>
                <w:lang w:val="el-GR"/>
              </w:rPr>
              <w:t>Ένταση Ενίσχυσης με βάση τον Κανονισμό Ε.Ε. 1407/2013 (</w:t>
            </w:r>
            <w:r w:rsidRPr="00C240C6">
              <w:rPr>
                <w:rFonts w:ascii="Times New Roman" w:hAnsi="Times New Roman" w:cs="Times New Roman"/>
                <w:b/>
                <w:bCs/>
                <w:sz w:val="22"/>
                <w:szCs w:val="22"/>
                <w:lang w:val="en-US"/>
              </w:rPr>
              <w:t>De</w:t>
            </w:r>
            <w:r w:rsidRPr="00C240C6">
              <w:rPr>
                <w:rFonts w:ascii="Times New Roman" w:hAnsi="Times New Roman" w:cs="Times New Roman"/>
                <w:b/>
                <w:bCs/>
                <w:sz w:val="22"/>
                <w:szCs w:val="22"/>
                <w:lang w:val="el-GR"/>
              </w:rPr>
              <w:t xml:space="preserve"> </w:t>
            </w:r>
            <w:r w:rsidRPr="00C240C6">
              <w:rPr>
                <w:rFonts w:ascii="Times New Roman" w:hAnsi="Times New Roman" w:cs="Times New Roman"/>
                <w:b/>
                <w:bCs/>
                <w:sz w:val="22"/>
                <w:szCs w:val="22"/>
                <w:lang w:val="en-US"/>
              </w:rPr>
              <w:t>Minimis</w:t>
            </w:r>
            <w:r w:rsidRPr="00C240C6">
              <w:rPr>
                <w:rFonts w:ascii="Times New Roman" w:hAnsi="Times New Roman" w:cs="Times New Roman"/>
                <w:b/>
                <w:bCs/>
                <w:sz w:val="22"/>
                <w:szCs w:val="22"/>
                <w:lang w:val="el-GR"/>
              </w:rPr>
              <w:t>)</w:t>
            </w:r>
          </w:p>
        </w:tc>
      </w:tr>
      <w:tr w:rsidR="00C240C6" w:rsidRPr="00C240C6" w14:paraId="417CA041" w14:textId="77777777" w:rsidTr="00C240C6">
        <w:tc>
          <w:tcPr>
            <w:tcW w:w="2977" w:type="dxa"/>
          </w:tcPr>
          <w:p w14:paraId="7C0B69AC" w14:textId="77777777" w:rsidR="00C240C6" w:rsidRPr="00C240C6" w:rsidRDefault="00C240C6" w:rsidP="007362CD">
            <w:pPr>
              <w:pStyle w:val="Default"/>
              <w:jc w:val="center"/>
              <w:rPr>
                <w:rFonts w:ascii="Times New Roman" w:hAnsi="Times New Roman" w:cs="Times New Roman"/>
                <w:b/>
                <w:bCs/>
                <w:sz w:val="22"/>
                <w:szCs w:val="22"/>
                <w:lang w:val="el-GR"/>
              </w:rPr>
            </w:pPr>
            <w:r w:rsidRPr="00C240C6">
              <w:rPr>
                <w:rFonts w:ascii="Times New Roman" w:hAnsi="Times New Roman" w:cs="Times New Roman"/>
                <w:b/>
                <w:bCs/>
                <w:sz w:val="22"/>
                <w:szCs w:val="22"/>
                <w:lang w:val="el-GR"/>
              </w:rPr>
              <w:t>Μικρές πολύ μικρές και Μεσαίες Επιχειρήσεις</w:t>
            </w:r>
          </w:p>
        </w:tc>
        <w:tc>
          <w:tcPr>
            <w:tcW w:w="2409" w:type="dxa"/>
          </w:tcPr>
          <w:p w14:paraId="5CE1D2E2" w14:textId="77777777" w:rsidR="00C240C6" w:rsidRPr="00C240C6" w:rsidRDefault="00C240C6" w:rsidP="007362CD">
            <w:pPr>
              <w:pStyle w:val="Default"/>
              <w:jc w:val="center"/>
              <w:rPr>
                <w:rFonts w:ascii="Times New Roman" w:hAnsi="Times New Roman" w:cs="Times New Roman"/>
                <w:b/>
                <w:bCs/>
                <w:sz w:val="22"/>
                <w:szCs w:val="22"/>
              </w:rPr>
            </w:pPr>
            <w:proofErr w:type="spellStart"/>
            <w:r w:rsidRPr="00C240C6">
              <w:rPr>
                <w:rFonts w:ascii="Times New Roman" w:hAnsi="Times New Roman" w:cs="Times New Roman"/>
                <w:b/>
                <w:bCs/>
                <w:sz w:val="22"/>
                <w:szCs w:val="22"/>
              </w:rPr>
              <w:t>Δημόσι</w:t>
            </w:r>
            <w:proofErr w:type="spellEnd"/>
            <w:r w:rsidRPr="00C240C6">
              <w:rPr>
                <w:rFonts w:ascii="Times New Roman" w:hAnsi="Times New Roman" w:cs="Times New Roman"/>
                <w:b/>
                <w:bCs/>
                <w:sz w:val="22"/>
                <w:szCs w:val="22"/>
              </w:rPr>
              <w:t>α Επ</w:t>
            </w:r>
            <w:proofErr w:type="spellStart"/>
            <w:r w:rsidRPr="00C240C6">
              <w:rPr>
                <w:rFonts w:ascii="Times New Roman" w:hAnsi="Times New Roman" w:cs="Times New Roman"/>
                <w:b/>
                <w:bCs/>
                <w:sz w:val="22"/>
                <w:szCs w:val="22"/>
              </w:rPr>
              <w:t>ιχορήγηση</w:t>
            </w:r>
            <w:proofErr w:type="spellEnd"/>
            <w:r w:rsidRPr="00C240C6">
              <w:rPr>
                <w:rFonts w:ascii="Times New Roman" w:hAnsi="Times New Roman" w:cs="Times New Roman"/>
                <w:b/>
                <w:bCs/>
                <w:sz w:val="22"/>
                <w:szCs w:val="22"/>
              </w:rPr>
              <w:t xml:space="preserve"> </w:t>
            </w:r>
            <w:proofErr w:type="spellStart"/>
            <w:r w:rsidRPr="00C240C6">
              <w:rPr>
                <w:rFonts w:ascii="Times New Roman" w:hAnsi="Times New Roman" w:cs="Times New Roman"/>
                <w:b/>
                <w:bCs/>
                <w:sz w:val="22"/>
                <w:szCs w:val="22"/>
              </w:rPr>
              <w:t>έως</w:t>
            </w:r>
            <w:proofErr w:type="spellEnd"/>
            <w:r w:rsidRPr="00C240C6">
              <w:rPr>
                <w:rFonts w:ascii="Times New Roman" w:hAnsi="Times New Roman" w:cs="Times New Roman"/>
                <w:b/>
                <w:bCs/>
                <w:sz w:val="22"/>
                <w:szCs w:val="22"/>
              </w:rPr>
              <w:t xml:space="preserve"> (%)</w:t>
            </w:r>
          </w:p>
        </w:tc>
        <w:tc>
          <w:tcPr>
            <w:tcW w:w="2552" w:type="dxa"/>
          </w:tcPr>
          <w:p w14:paraId="5E641B6A" w14:textId="77777777" w:rsidR="00C240C6" w:rsidRPr="00C240C6" w:rsidRDefault="00C240C6" w:rsidP="007362CD">
            <w:pPr>
              <w:pStyle w:val="Default"/>
              <w:jc w:val="center"/>
              <w:rPr>
                <w:rFonts w:ascii="Times New Roman" w:hAnsi="Times New Roman" w:cs="Times New Roman"/>
                <w:b/>
                <w:bCs/>
                <w:sz w:val="22"/>
                <w:szCs w:val="22"/>
              </w:rPr>
            </w:pPr>
            <w:proofErr w:type="spellStart"/>
            <w:r w:rsidRPr="00C240C6">
              <w:rPr>
                <w:rFonts w:ascii="Times New Roman" w:hAnsi="Times New Roman" w:cs="Times New Roman"/>
                <w:b/>
                <w:bCs/>
                <w:sz w:val="22"/>
                <w:szCs w:val="22"/>
              </w:rPr>
              <w:t>Ιδιωτική</w:t>
            </w:r>
            <w:proofErr w:type="spellEnd"/>
            <w:r w:rsidRPr="00C240C6">
              <w:rPr>
                <w:rFonts w:ascii="Times New Roman" w:hAnsi="Times New Roman" w:cs="Times New Roman"/>
                <w:b/>
                <w:bCs/>
                <w:sz w:val="22"/>
                <w:szCs w:val="22"/>
              </w:rPr>
              <w:t xml:space="preserve"> </w:t>
            </w:r>
            <w:proofErr w:type="spellStart"/>
            <w:r w:rsidRPr="00C240C6">
              <w:rPr>
                <w:rFonts w:ascii="Times New Roman" w:hAnsi="Times New Roman" w:cs="Times New Roman"/>
                <w:b/>
                <w:bCs/>
                <w:sz w:val="22"/>
                <w:szCs w:val="22"/>
              </w:rPr>
              <w:t>Συμμετοχή</w:t>
            </w:r>
            <w:proofErr w:type="spellEnd"/>
            <w:r w:rsidRPr="00C240C6">
              <w:rPr>
                <w:rFonts w:ascii="Times New Roman" w:hAnsi="Times New Roman" w:cs="Times New Roman"/>
                <w:b/>
                <w:bCs/>
                <w:sz w:val="22"/>
                <w:szCs w:val="22"/>
              </w:rPr>
              <w:t xml:space="preserve"> (%)</w:t>
            </w:r>
          </w:p>
        </w:tc>
      </w:tr>
      <w:tr w:rsidR="00C240C6" w:rsidRPr="00C240C6" w14:paraId="5BFD994E" w14:textId="77777777" w:rsidTr="00C240C6">
        <w:trPr>
          <w:trHeight w:val="589"/>
        </w:trPr>
        <w:tc>
          <w:tcPr>
            <w:tcW w:w="2977" w:type="dxa"/>
          </w:tcPr>
          <w:p w14:paraId="651CA2EC" w14:textId="77777777" w:rsidR="00C240C6" w:rsidRPr="00C240C6" w:rsidRDefault="00C240C6" w:rsidP="007362CD">
            <w:pPr>
              <w:pStyle w:val="Default"/>
              <w:jc w:val="center"/>
              <w:rPr>
                <w:rFonts w:ascii="Times New Roman" w:hAnsi="Times New Roman" w:cs="Times New Roman"/>
                <w:sz w:val="22"/>
                <w:szCs w:val="22"/>
                <w:lang w:val="el-GR"/>
              </w:rPr>
            </w:pPr>
            <w:r w:rsidRPr="00C240C6">
              <w:rPr>
                <w:rFonts w:ascii="Times New Roman" w:hAnsi="Times New Roman" w:cs="Times New Roman"/>
                <w:sz w:val="22"/>
                <w:szCs w:val="22"/>
                <w:lang w:val="el-GR"/>
              </w:rPr>
              <w:t>Για το σύνολο των Περιφερειών της Χώρας εκτός των Περιοχών Δίκαιης Μετάβασης</w:t>
            </w:r>
          </w:p>
        </w:tc>
        <w:tc>
          <w:tcPr>
            <w:tcW w:w="2409" w:type="dxa"/>
            <w:vAlign w:val="center"/>
          </w:tcPr>
          <w:p w14:paraId="16A31240" w14:textId="77777777" w:rsidR="00C240C6" w:rsidRPr="00C240C6" w:rsidRDefault="00C240C6" w:rsidP="007362CD">
            <w:pPr>
              <w:pStyle w:val="Default"/>
              <w:jc w:val="center"/>
              <w:rPr>
                <w:rFonts w:ascii="Times New Roman" w:hAnsi="Times New Roman" w:cs="Times New Roman"/>
                <w:sz w:val="22"/>
                <w:szCs w:val="22"/>
              </w:rPr>
            </w:pPr>
            <w:r w:rsidRPr="00C240C6">
              <w:rPr>
                <w:rFonts w:ascii="Times New Roman" w:hAnsi="Times New Roman" w:cs="Times New Roman"/>
                <w:sz w:val="22"/>
                <w:szCs w:val="22"/>
              </w:rPr>
              <w:t>50%</w:t>
            </w:r>
          </w:p>
        </w:tc>
        <w:tc>
          <w:tcPr>
            <w:tcW w:w="2552" w:type="dxa"/>
            <w:vAlign w:val="center"/>
          </w:tcPr>
          <w:p w14:paraId="08FFE4EA" w14:textId="77777777" w:rsidR="00C240C6" w:rsidRPr="00C240C6" w:rsidRDefault="00C240C6" w:rsidP="007362CD">
            <w:pPr>
              <w:pStyle w:val="Default"/>
              <w:jc w:val="center"/>
              <w:rPr>
                <w:rFonts w:ascii="Times New Roman" w:hAnsi="Times New Roman" w:cs="Times New Roman"/>
                <w:sz w:val="22"/>
                <w:szCs w:val="22"/>
              </w:rPr>
            </w:pPr>
            <w:r w:rsidRPr="00C240C6">
              <w:rPr>
                <w:rFonts w:ascii="Times New Roman" w:hAnsi="Times New Roman" w:cs="Times New Roman"/>
                <w:sz w:val="22"/>
                <w:szCs w:val="22"/>
              </w:rPr>
              <w:t>50%</w:t>
            </w:r>
          </w:p>
        </w:tc>
      </w:tr>
      <w:tr w:rsidR="00C240C6" w:rsidRPr="00C240C6" w14:paraId="7920F0FD" w14:textId="77777777" w:rsidTr="00C240C6">
        <w:tc>
          <w:tcPr>
            <w:tcW w:w="2977" w:type="dxa"/>
          </w:tcPr>
          <w:p w14:paraId="2AEF3D4C" w14:textId="77777777" w:rsidR="00C240C6" w:rsidRPr="00C240C6" w:rsidRDefault="00C240C6" w:rsidP="007362CD">
            <w:pPr>
              <w:pStyle w:val="Default"/>
              <w:jc w:val="center"/>
              <w:rPr>
                <w:rFonts w:ascii="Times New Roman" w:hAnsi="Times New Roman" w:cs="Times New Roman"/>
                <w:sz w:val="22"/>
                <w:szCs w:val="22"/>
                <w:lang w:val="el-GR"/>
              </w:rPr>
            </w:pPr>
            <w:r w:rsidRPr="00C240C6">
              <w:rPr>
                <w:rFonts w:ascii="Times New Roman" w:hAnsi="Times New Roman" w:cs="Times New Roman"/>
                <w:sz w:val="22"/>
                <w:szCs w:val="22"/>
                <w:lang w:val="el-GR"/>
              </w:rPr>
              <w:t>Για τις Περιοχές Δίκαιης Μετάβασης*</w:t>
            </w:r>
          </w:p>
        </w:tc>
        <w:tc>
          <w:tcPr>
            <w:tcW w:w="2409" w:type="dxa"/>
            <w:vAlign w:val="center"/>
          </w:tcPr>
          <w:p w14:paraId="370F5F08" w14:textId="77777777" w:rsidR="00C240C6" w:rsidRPr="00C240C6" w:rsidRDefault="00C240C6" w:rsidP="007362CD">
            <w:pPr>
              <w:pStyle w:val="Default"/>
              <w:jc w:val="center"/>
              <w:rPr>
                <w:rFonts w:ascii="Times New Roman" w:hAnsi="Times New Roman" w:cs="Times New Roman"/>
                <w:sz w:val="22"/>
                <w:szCs w:val="22"/>
              </w:rPr>
            </w:pPr>
            <w:r w:rsidRPr="00C240C6">
              <w:rPr>
                <w:rFonts w:ascii="Times New Roman" w:hAnsi="Times New Roman" w:cs="Times New Roman"/>
                <w:sz w:val="22"/>
                <w:szCs w:val="22"/>
              </w:rPr>
              <w:t>60%</w:t>
            </w:r>
          </w:p>
        </w:tc>
        <w:tc>
          <w:tcPr>
            <w:tcW w:w="2552" w:type="dxa"/>
            <w:vAlign w:val="center"/>
          </w:tcPr>
          <w:p w14:paraId="63BD8840" w14:textId="77777777" w:rsidR="00C240C6" w:rsidRPr="00C240C6" w:rsidRDefault="00C240C6" w:rsidP="007362CD">
            <w:pPr>
              <w:pStyle w:val="Default"/>
              <w:jc w:val="center"/>
              <w:rPr>
                <w:rFonts w:ascii="Times New Roman" w:hAnsi="Times New Roman" w:cs="Times New Roman"/>
                <w:sz w:val="22"/>
                <w:szCs w:val="22"/>
              </w:rPr>
            </w:pPr>
            <w:r w:rsidRPr="00C240C6">
              <w:rPr>
                <w:rFonts w:ascii="Times New Roman" w:hAnsi="Times New Roman" w:cs="Times New Roman"/>
                <w:sz w:val="22"/>
                <w:szCs w:val="22"/>
              </w:rPr>
              <w:t>40%</w:t>
            </w:r>
          </w:p>
        </w:tc>
      </w:tr>
    </w:tbl>
    <w:p w14:paraId="7FCA0FC5" w14:textId="77777777" w:rsidR="00C240C6" w:rsidRPr="00C240C6" w:rsidRDefault="00C240C6" w:rsidP="00C240C6">
      <w:pPr>
        <w:pStyle w:val="Default"/>
        <w:ind w:left="851"/>
        <w:jc w:val="both"/>
        <w:rPr>
          <w:rFonts w:ascii="Times New Roman" w:hAnsi="Times New Roman" w:cs="Times New Roman"/>
          <w:i/>
          <w:iCs/>
          <w:sz w:val="22"/>
          <w:szCs w:val="22"/>
          <w:lang w:val="el-GR"/>
        </w:rPr>
      </w:pPr>
      <w:r w:rsidRPr="00C240C6">
        <w:rPr>
          <w:rFonts w:ascii="Times New Roman" w:hAnsi="Times New Roman" w:cs="Times New Roman"/>
          <w:b/>
          <w:bCs/>
          <w:i/>
          <w:iCs/>
          <w:sz w:val="22"/>
          <w:szCs w:val="22"/>
          <w:lang w:val="el-GR"/>
        </w:rPr>
        <w:t>*</w:t>
      </w:r>
      <w:r w:rsidRPr="00C240C6">
        <w:rPr>
          <w:rFonts w:ascii="Times New Roman" w:hAnsi="Times New Roman" w:cs="Times New Roman"/>
          <w:i/>
          <w:iCs/>
          <w:sz w:val="22"/>
          <w:szCs w:val="22"/>
          <w:lang w:val="el-GR"/>
        </w:rPr>
        <w:t xml:space="preserve"> Περιφέρειες: Δυτικής Μακεδονίας, Βορείου Αιγαίου, Νοτίου Αιγαίου, Κρήτης</w:t>
      </w:r>
    </w:p>
    <w:p w14:paraId="05CBEE22" w14:textId="77777777" w:rsidR="00C240C6" w:rsidRPr="00C240C6" w:rsidRDefault="00C240C6" w:rsidP="00C240C6">
      <w:pPr>
        <w:pStyle w:val="Default"/>
        <w:ind w:left="851"/>
        <w:jc w:val="both"/>
        <w:rPr>
          <w:rFonts w:ascii="Times New Roman" w:hAnsi="Times New Roman" w:cs="Times New Roman"/>
          <w:i/>
          <w:iCs/>
          <w:sz w:val="22"/>
          <w:szCs w:val="22"/>
          <w:lang w:val="el-GR"/>
        </w:rPr>
      </w:pPr>
      <w:r w:rsidRPr="00C240C6">
        <w:rPr>
          <w:rFonts w:ascii="Times New Roman" w:hAnsi="Times New Roman" w:cs="Times New Roman"/>
          <w:i/>
          <w:iCs/>
          <w:sz w:val="22"/>
          <w:szCs w:val="22"/>
          <w:lang w:val="el-GR"/>
        </w:rPr>
        <w:t xml:space="preserve">   Δήμοι: Μεγαλόπολης, Γορτυνίας, Τρίπολης, Οιχαλίας </w:t>
      </w:r>
    </w:p>
    <w:p w14:paraId="573E4DF0" w14:textId="77777777" w:rsidR="00CB218B" w:rsidRDefault="00CB218B" w:rsidP="00D167A0">
      <w:pPr>
        <w:pStyle w:val="af0"/>
        <w:tabs>
          <w:tab w:val="left" w:pos="8222"/>
        </w:tabs>
        <w:spacing w:line="288" w:lineRule="auto"/>
        <w:ind w:left="284" w:right="323"/>
        <w:jc w:val="both"/>
        <w:rPr>
          <w:rFonts w:ascii="Times New Roman" w:hAnsi="Times New Roman" w:cs="Times New Roman"/>
          <w:u w:val="single"/>
        </w:rPr>
      </w:pPr>
    </w:p>
    <w:p w14:paraId="5C4F9FA1" w14:textId="3E72DABD"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u w:val="single"/>
        </w:rPr>
      </w:pPr>
      <w:r w:rsidRPr="00CB218B">
        <w:rPr>
          <w:rFonts w:ascii="Times New Roman" w:hAnsi="Times New Roman" w:cs="Times New Roman"/>
          <w:sz w:val="24"/>
          <w:szCs w:val="24"/>
          <w:u w:val="single"/>
        </w:rPr>
        <w:t>Επιλέξιμες Δαπάνες</w:t>
      </w:r>
    </w:p>
    <w:p w14:paraId="75ABC8A3"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Οι βασικές δαπάνες που καλύπτονται από τη Δράση 1 - Βασικός Ψηφιακός Μετασχηματισμός </w:t>
      </w:r>
      <w:proofErr w:type="spellStart"/>
      <w:r w:rsidRPr="00CB218B">
        <w:rPr>
          <w:rFonts w:ascii="Times New Roman" w:hAnsi="Times New Roman" w:cs="Times New Roman"/>
          <w:sz w:val="24"/>
          <w:szCs w:val="24"/>
        </w:rPr>
        <w:t>ΜμΕ</w:t>
      </w:r>
      <w:proofErr w:type="spellEnd"/>
    </w:p>
    <w:p w14:paraId="5A3D1DA8"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αφορούν σε:</w:t>
      </w:r>
    </w:p>
    <w:p w14:paraId="75A7AD64"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b/>
          <w:bCs/>
          <w:sz w:val="24"/>
          <w:szCs w:val="24"/>
        </w:rPr>
        <w:t>i. Δαπάνες Εξοπλισμού</w:t>
      </w:r>
      <w:r w:rsidRPr="00CB218B">
        <w:rPr>
          <w:rFonts w:ascii="Times New Roman" w:hAnsi="Times New Roman" w:cs="Times New Roman"/>
          <w:sz w:val="24"/>
          <w:szCs w:val="24"/>
        </w:rPr>
        <w:t xml:space="preserve"> με ενδεικτικές δαπάνες: Προμήθεια ψηφιακού εξοπλισμού γραφείου, αναβάθμισης εσωτερικών δικτύων μεταφοράς δεδομένων, </w:t>
      </w:r>
      <w:proofErr w:type="spellStart"/>
      <w:r w:rsidRPr="00CB218B">
        <w:rPr>
          <w:rFonts w:ascii="Times New Roman" w:hAnsi="Times New Roman" w:cs="Times New Roman"/>
          <w:sz w:val="24"/>
          <w:szCs w:val="24"/>
        </w:rPr>
        <w:t>διάδρασης</w:t>
      </w:r>
      <w:proofErr w:type="spellEnd"/>
      <w:r w:rsidRPr="00CB218B">
        <w:rPr>
          <w:rFonts w:ascii="Times New Roman" w:hAnsi="Times New Roman" w:cs="Times New Roman"/>
          <w:sz w:val="24"/>
          <w:szCs w:val="24"/>
        </w:rPr>
        <w:t xml:space="preserve"> με εργαζόμενους, πελάτες ή προμηθευτές κλπ.</w:t>
      </w:r>
    </w:p>
    <w:p w14:paraId="3CB3BCBB"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proofErr w:type="spellStart"/>
      <w:r w:rsidRPr="00CB218B">
        <w:rPr>
          <w:rFonts w:ascii="Times New Roman" w:hAnsi="Times New Roman" w:cs="Times New Roman"/>
          <w:b/>
          <w:bCs/>
          <w:sz w:val="24"/>
          <w:szCs w:val="24"/>
        </w:rPr>
        <w:t>ii</w:t>
      </w:r>
      <w:proofErr w:type="spellEnd"/>
      <w:r w:rsidRPr="00CB218B">
        <w:rPr>
          <w:rFonts w:ascii="Times New Roman" w:hAnsi="Times New Roman" w:cs="Times New Roman"/>
          <w:b/>
          <w:bCs/>
          <w:sz w:val="24"/>
          <w:szCs w:val="24"/>
        </w:rPr>
        <w:t>. Δαπάνες Λογισμικού</w:t>
      </w:r>
      <w:r w:rsidRPr="00CB218B">
        <w:rPr>
          <w:rFonts w:ascii="Times New Roman" w:hAnsi="Times New Roman" w:cs="Times New Roman"/>
          <w:sz w:val="24"/>
          <w:szCs w:val="24"/>
        </w:rPr>
        <w:t xml:space="preserve"> με ενδεικτικές δαπάνες: Προμήθεια βασικών εφαρμογών διαχείρισης επιχειρησιακών πόρων &amp; διαδικασιών (πχ ERP, WMS, </w:t>
      </w:r>
      <w:proofErr w:type="spellStart"/>
      <w:r w:rsidRPr="00CB218B">
        <w:rPr>
          <w:rFonts w:ascii="Times New Roman" w:hAnsi="Times New Roman" w:cs="Times New Roman"/>
          <w:sz w:val="24"/>
          <w:szCs w:val="24"/>
        </w:rPr>
        <w:t>KPIs</w:t>
      </w:r>
      <w:proofErr w:type="spellEnd"/>
      <w:r w:rsidRPr="00CB218B">
        <w:rPr>
          <w:rFonts w:ascii="Times New Roman" w:hAnsi="Times New Roman" w:cs="Times New Roman"/>
          <w:sz w:val="24"/>
          <w:szCs w:val="24"/>
        </w:rPr>
        <w:t xml:space="preserve">, ΕDI, ΒΜPS, </w:t>
      </w:r>
      <w:proofErr w:type="spellStart"/>
      <w:r w:rsidRPr="00CB218B">
        <w:rPr>
          <w:rFonts w:ascii="Times New Roman" w:hAnsi="Times New Roman" w:cs="Times New Roman"/>
          <w:sz w:val="24"/>
          <w:szCs w:val="24"/>
        </w:rPr>
        <w:t>κλπ</w:t>
      </w:r>
      <w:proofErr w:type="spellEnd"/>
      <w:r w:rsidRPr="00CB218B">
        <w:rPr>
          <w:rFonts w:ascii="Times New Roman" w:hAnsi="Times New Roman" w:cs="Times New Roman"/>
          <w:sz w:val="24"/>
          <w:szCs w:val="24"/>
        </w:rPr>
        <w:t>), επεξεργασίας εικόνας, 3D μοντέλων και CAD, ψηφιακής ασφάλειας, διαχείρισης πελατών και εφοδιαστικής αλυσίδας, βελτιστοποίησης της παραγωγής κλπ.</w:t>
      </w:r>
    </w:p>
    <w:p w14:paraId="565C1EE2"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proofErr w:type="spellStart"/>
      <w:r w:rsidRPr="00CB218B">
        <w:rPr>
          <w:rFonts w:ascii="Times New Roman" w:hAnsi="Times New Roman" w:cs="Times New Roman"/>
          <w:b/>
          <w:bCs/>
          <w:sz w:val="24"/>
          <w:szCs w:val="24"/>
        </w:rPr>
        <w:t>iii</w:t>
      </w:r>
      <w:proofErr w:type="spellEnd"/>
      <w:r w:rsidRPr="00CB218B">
        <w:rPr>
          <w:rFonts w:ascii="Times New Roman" w:hAnsi="Times New Roman" w:cs="Times New Roman"/>
          <w:b/>
          <w:bCs/>
          <w:sz w:val="24"/>
          <w:szCs w:val="24"/>
        </w:rPr>
        <w:t>. Δαπάνες για Παροχή Υπηρεσιών</w:t>
      </w:r>
      <w:r w:rsidRPr="00CB218B">
        <w:rPr>
          <w:rFonts w:ascii="Times New Roman" w:hAnsi="Times New Roman" w:cs="Times New Roman"/>
          <w:sz w:val="24"/>
          <w:szCs w:val="24"/>
        </w:rPr>
        <w:t xml:space="preserve"> που συνδέονται με τη ψηφιακή αναβάθμιση με ενδεικτικές δαπάνες: Συμβουλευτική υποστήριξη για την παρακολούθηση της υλοποίησης του επενδυτικού σχεδίου, τεχνική υποστήριξη για την υλοποίηση του επενδυτικού σχεδίου, εγκατάσταση ή παραμετροποίηση εφαρμογών που συμπεριλαμβάνονται στην αίτηση χρηματοδότησης.</w:t>
      </w:r>
    </w:p>
    <w:p w14:paraId="7C13C351" w14:textId="77777777" w:rsidR="00D167A0" w:rsidRDefault="00D167A0" w:rsidP="00D167A0">
      <w:pPr>
        <w:pStyle w:val="af0"/>
        <w:tabs>
          <w:tab w:val="left" w:pos="8222"/>
        </w:tabs>
        <w:spacing w:line="288" w:lineRule="auto"/>
        <w:ind w:left="284" w:right="323"/>
        <w:jc w:val="both"/>
        <w:rPr>
          <w:rFonts w:ascii="Times New Roman" w:hAnsi="Times New Roman" w:cs="Times New Roman"/>
          <w:b/>
          <w:bCs/>
        </w:rPr>
      </w:pPr>
    </w:p>
    <w:p w14:paraId="2719B2D9" w14:textId="2F842888" w:rsidR="003A7925" w:rsidRPr="00CB218B" w:rsidRDefault="003A7925" w:rsidP="00C240C6">
      <w:pPr>
        <w:pStyle w:val="af0"/>
        <w:tabs>
          <w:tab w:val="left" w:pos="8222"/>
        </w:tabs>
        <w:spacing w:line="288" w:lineRule="auto"/>
        <w:ind w:left="284" w:right="323"/>
        <w:jc w:val="center"/>
        <w:rPr>
          <w:rFonts w:ascii="Times New Roman" w:hAnsi="Times New Roman" w:cs="Times New Roman"/>
          <w:b/>
          <w:bCs/>
          <w:sz w:val="24"/>
          <w:szCs w:val="24"/>
        </w:rPr>
      </w:pPr>
      <w:r w:rsidRPr="00CB218B">
        <w:rPr>
          <w:rFonts w:ascii="Times New Roman" w:hAnsi="Times New Roman" w:cs="Times New Roman"/>
          <w:b/>
          <w:bCs/>
          <w:sz w:val="24"/>
          <w:szCs w:val="24"/>
        </w:rPr>
        <w:t xml:space="preserve">ΔΡΑΣΗ 2 - «ΠΡΟΗΓΜΕΝΟΣ ΨΗΦΙΑΚΟΣ ΜΕΤΑΣΧΗΜΑΤΙΣΜΟΣ </w:t>
      </w:r>
      <w:proofErr w:type="spellStart"/>
      <w:r w:rsidRPr="00CB218B">
        <w:rPr>
          <w:rFonts w:ascii="Times New Roman" w:hAnsi="Times New Roman" w:cs="Times New Roman"/>
          <w:b/>
          <w:bCs/>
          <w:sz w:val="24"/>
          <w:szCs w:val="24"/>
        </w:rPr>
        <w:t>ΜμΕ</w:t>
      </w:r>
      <w:proofErr w:type="spellEnd"/>
      <w:r w:rsidRPr="00CB218B">
        <w:rPr>
          <w:rFonts w:ascii="Times New Roman" w:hAnsi="Times New Roman" w:cs="Times New Roman"/>
          <w:b/>
          <w:bCs/>
          <w:sz w:val="24"/>
          <w:szCs w:val="24"/>
        </w:rPr>
        <w:t>»</w:t>
      </w:r>
    </w:p>
    <w:p w14:paraId="1FEEF425" w14:textId="42488AAC"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u w:val="single"/>
        </w:rPr>
      </w:pPr>
      <w:r w:rsidRPr="00CB218B">
        <w:rPr>
          <w:rFonts w:ascii="Times New Roman" w:hAnsi="Times New Roman" w:cs="Times New Roman"/>
          <w:sz w:val="24"/>
          <w:szCs w:val="24"/>
        </w:rPr>
        <w:t xml:space="preserve">Βασικός στόχος της Δράσης 2 - Προηγμένος Ψηφιακός Μετασχηματισμός </w:t>
      </w:r>
      <w:proofErr w:type="spellStart"/>
      <w:r w:rsidRPr="00CB218B">
        <w:rPr>
          <w:rFonts w:ascii="Times New Roman" w:hAnsi="Times New Roman" w:cs="Times New Roman"/>
          <w:sz w:val="24"/>
          <w:szCs w:val="24"/>
        </w:rPr>
        <w:t>ΜμΕ</w:t>
      </w:r>
      <w:proofErr w:type="spellEnd"/>
      <w:r w:rsidRPr="00CB218B">
        <w:rPr>
          <w:rFonts w:ascii="Times New Roman" w:hAnsi="Times New Roman" w:cs="Times New Roman"/>
          <w:sz w:val="24"/>
          <w:szCs w:val="24"/>
        </w:rPr>
        <w:t xml:space="preserve"> είναι </w:t>
      </w:r>
      <w:r w:rsidRPr="00CB218B">
        <w:rPr>
          <w:rFonts w:ascii="Times New Roman" w:hAnsi="Times New Roman" w:cs="Times New Roman"/>
          <w:b/>
          <w:bCs/>
          <w:sz w:val="24"/>
          <w:szCs w:val="24"/>
        </w:rPr>
        <w:t xml:space="preserve">η αναβάθμιση των </w:t>
      </w:r>
      <w:proofErr w:type="spellStart"/>
      <w:r w:rsidRPr="00CB218B">
        <w:rPr>
          <w:rFonts w:ascii="Times New Roman" w:hAnsi="Times New Roman" w:cs="Times New Roman"/>
          <w:b/>
          <w:bCs/>
          <w:sz w:val="24"/>
          <w:szCs w:val="24"/>
        </w:rPr>
        <w:t>ΜμΕ</w:t>
      </w:r>
      <w:proofErr w:type="spellEnd"/>
      <w:r w:rsidRPr="00CB218B">
        <w:rPr>
          <w:rFonts w:ascii="Times New Roman" w:hAnsi="Times New Roman" w:cs="Times New Roman"/>
          <w:b/>
          <w:bCs/>
          <w:sz w:val="24"/>
          <w:szCs w:val="24"/>
        </w:rPr>
        <w:t xml:space="preserve"> μέσω της αξιοποίησης προηγμένων συστημάτων και τεχνολογιών</w:t>
      </w:r>
      <w:r w:rsidRPr="00CB218B">
        <w:rPr>
          <w:rFonts w:ascii="Times New Roman" w:hAnsi="Times New Roman" w:cs="Times New Roman"/>
          <w:sz w:val="24"/>
          <w:szCs w:val="24"/>
        </w:rPr>
        <w:t xml:space="preserve"> με τα οποία μπορούν να βελτιώσουν τη θέση τους, στις διεθνείς αγορές, να ενισχύσουν τη λειτουργική ευελιξία, να βελτιώσουν τη παραγωγική διαδικασία αλλά και να αναβαθμίσουν την ανταγωνιστικότητά τους. Η Δράση ενθαρρύνει, κατά προτεραιότητα, την υλοποίηση </w:t>
      </w:r>
      <w:proofErr w:type="spellStart"/>
      <w:r w:rsidRPr="00CB218B">
        <w:rPr>
          <w:rFonts w:ascii="Times New Roman" w:hAnsi="Times New Roman" w:cs="Times New Roman"/>
          <w:sz w:val="24"/>
          <w:szCs w:val="24"/>
        </w:rPr>
        <w:t>στοχευμένων</w:t>
      </w:r>
      <w:proofErr w:type="spellEnd"/>
      <w:r w:rsidRPr="00CB218B">
        <w:rPr>
          <w:rFonts w:ascii="Times New Roman" w:hAnsi="Times New Roman" w:cs="Times New Roman"/>
          <w:sz w:val="24"/>
          <w:szCs w:val="24"/>
        </w:rPr>
        <w:t xml:space="preserve"> επενδυτικών σχεδίων ψηφιακού μετασχηματισμού που συνεισφέρουν σημαντικά σε μία </w:t>
      </w:r>
      <w:r w:rsidRPr="00CB218B">
        <w:rPr>
          <w:rFonts w:ascii="Times New Roman" w:hAnsi="Times New Roman" w:cs="Times New Roman"/>
          <w:sz w:val="24"/>
          <w:szCs w:val="24"/>
        </w:rPr>
        <w:lastRenderedPageBreak/>
        <w:t>εξωστρεφή, καινοτόμα, ανταγωνιστική και βιώσιμη λειτουργία των επιχειρήσεων παραγωγής προϊόντων και παροχής υπηρεσιών υψηλότερης προστιθέμενης αξίας.</w:t>
      </w:r>
      <w:r w:rsidRPr="00CB218B">
        <w:rPr>
          <w:rFonts w:ascii="Times New Roman" w:hAnsi="Times New Roman" w:cs="Times New Roman"/>
          <w:sz w:val="24"/>
          <w:szCs w:val="24"/>
        </w:rPr>
        <w:cr/>
      </w:r>
      <w:r w:rsidRPr="00CB218B">
        <w:rPr>
          <w:rFonts w:ascii="Times New Roman" w:hAnsi="Times New Roman" w:cs="Times New Roman"/>
          <w:sz w:val="24"/>
          <w:szCs w:val="24"/>
          <w:u w:val="single"/>
        </w:rPr>
        <w:t>Επιλέξιμες Επιχειρήσεις - Προϋποθέσεις Συμμετοχής</w:t>
      </w:r>
    </w:p>
    <w:p w14:paraId="163BD86A" w14:textId="77777777" w:rsidR="00C240C6" w:rsidRPr="00CB218B" w:rsidRDefault="003A7925"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Στη Δράση μπορούν να υποβάλλουν πρόταση υφιστάμενες μεσαίες, μικρές και πολύ μικρές επιχειρήσεις, όπως αυτές ορίζονται στη Σύσταση της Επιτροπής 2003/361/ΕΚ</w:t>
      </w:r>
      <w:r w:rsidR="00C240C6" w:rsidRPr="00CB218B">
        <w:rPr>
          <w:rFonts w:ascii="Times New Roman" w:hAnsi="Times New Roman" w:cs="Times New Roman"/>
          <w:sz w:val="24"/>
          <w:szCs w:val="24"/>
        </w:rPr>
        <w:t>, υπό τις παρακάτω προϋποθέσεις:</w:t>
      </w:r>
    </w:p>
    <w:p w14:paraId="10EA0D50" w14:textId="58CE9871"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1. Να υποβάλλουν μία και μοναδική αίτηση χρηματοδότησης ανά ΑΦΜ, να λειτουργούν νόμιμα διαθέτοντας την κατάλληλη άδεια λειτουργίας και να υλοποιήσουν την επένδυση αποκλειστικά σε μία μόνο Περιφέρεια. </w:t>
      </w:r>
    </w:p>
    <w:p w14:paraId="7E0D6F61" w14:textId="0CE6B0EC"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2. Να τηρούν Απλογραφικά ή Διπλογραφικά βιβλία και να έχουν τουλάχιστον μία (1) πλήρη κλεισμένη διαχειριστική χρήση, και να λειτουργούν αποκλειστικά ως επιχειρήσεις εταιρικού/εμπορικού χαρακτήρα.</w:t>
      </w:r>
    </w:p>
    <w:p w14:paraId="6476DAB7" w14:textId="5DE7F462"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3. Να διαθέτουν ένα τουλάχιστον επιλέξιμο ΚΑΔ, να δραστηριοποιούνται στον επιλέξιμο ΚΑΔ για τουλάχιστον ένα έτος, και η επένδυση να αφορά σε επιλέξιμο ΚΑΔ, σύμφωνα με τον πίνακα που θα αναρτηθεί στην προκήρυξη.</w:t>
      </w:r>
    </w:p>
    <w:p w14:paraId="3EB18FB3" w14:textId="0C303F33"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4. Να απασχολούν τουλάχιστον πέντε (9) ΕΜΕ κατά το έτος που προηγείται της υποβολής αίτησης χρηματοδότησης.</w:t>
      </w:r>
    </w:p>
    <w:p w14:paraId="3CE28B1D" w14:textId="27195038"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5. Να εξασφαλίζεται η ιδιωτική συμμετοχή σε ποσοστό τουλάχιστον του 25%. Η ιδιωτική συμμετοχή δεν πρέπει να ενέχει κανένα στοιχείο κρατικής στήριξης.</w:t>
      </w:r>
    </w:p>
    <w:p w14:paraId="59FF9D24" w14:textId="29B8EC3A"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6. Τα επενδυτικά σχέδια θα πρέπει έχουν το χαρακτήρα αρχικής επένδυσης, όπως ορίζεται στο Άρθρο 13 «Πεδίο εφαρμογής των περιφερειακών ενισχύσεων» και στο Άρθρο 14 «Περιφερειακές επενδυτικές ενισχύσεις» του Καν. ΕΕ 651/2014, και δεν θα πρέπει να έχει γίνει έναρξη εργασιών για το επενδυτικό σχέδιο πριν την υποβολή της αίτησης ενίσχυσης.</w:t>
      </w:r>
    </w:p>
    <w:p w14:paraId="3E3C6477" w14:textId="7C09C292"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7. Να συγκεντρώνουν κατ’ ελάχιστο το βαθμό 80 στο ερωτηματολόγιο ψηφιακής ωριμότητας, και κατ’ ελάχιστο το συνολικό βαθμό 50 στα βαθμολογούμενα κριτήρια που θα οριστούν στην προκήρυξη της Δράσης.</w:t>
      </w:r>
    </w:p>
    <w:p w14:paraId="2D18E398" w14:textId="786A5E18" w:rsidR="003A7925"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8. Να μην βρίσκονται υπό πτώχευση, εκκαθάριση ή αναγκαστική διαχείριση και να πληρούν τις προϋποθέσεις εφαρμογής του Κανονισμού ΕΕ 651/2014 (ΓΚΑΚ).</w:t>
      </w:r>
    </w:p>
    <w:p w14:paraId="62B4EF66"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u w:val="single"/>
        </w:rPr>
      </w:pPr>
      <w:r w:rsidRPr="00CB218B">
        <w:rPr>
          <w:rFonts w:ascii="Times New Roman" w:hAnsi="Times New Roman" w:cs="Times New Roman"/>
          <w:sz w:val="24"/>
          <w:szCs w:val="24"/>
          <w:u w:val="single"/>
        </w:rPr>
        <w:t>Προϋπολογισμός και Διάρκεια Έργων</w:t>
      </w:r>
    </w:p>
    <w:p w14:paraId="52511404"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Ο ελάχιστος και μέγιστος συνολικός ενισχυόμενος προϋπολογισμός (Π/Υ) της αίτησης χρηματοδότησης ορίζεται </w:t>
      </w:r>
      <w:r w:rsidRPr="00CB218B">
        <w:rPr>
          <w:rFonts w:ascii="Times New Roman" w:hAnsi="Times New Roman" w:cs="Times New Roman"/>
          <w:b/>
          <w:bCs/>
          <w:sz w:val="24"/>
          <w:szCs w:val="24"/>
        </w:rPr>
        <w:t>από €50.000 έως και €650.000</w:t>
      </w:r>
      <w:r w:rsidRPr="00CB218B">
        <w:rPr>
          <w:rFonts w:ascii="Times New Roman" w:hAnsi="Times New Roman" w:cs="Times New Roman"/>
          <w:sz w:val="24"/>
          <w:szCs w:val="24"/>
        </w:rPr>
        <w:t>.</w:t>
      </w:r>
    </w:p>
    <w:p w14:paraId="0B79AFE1"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Ο επιχορηγούμενος προϋπολογισμός του επενδυτικού σχεδίου δεν δύναται να υπερβαίνει το τριπλάσιο του υψηλότερου κύκλου εργασιών που επετεύχθη σε μία από τις τρεις (ή λιγότερες εφόσον η επιχείρηση δεν διαθέτει τρεις) διαχειριστικές </w:t>
      </w:r>
      <w:r w:rsidRPr="00CB218B">
        <w:rPr>
          <w:rFonts w:ascii="Times New Roman" w:hAnsi="Times New Roman" w:cs="Times New Roman"/>
          <w:sz w:val="24"/>
          <w:szCs w:val="24"/>
        </w:rPr>
        <w:lastRenderedPageBreak/>
        <w:t>περιόδους που προηγούνται του έτους της υποβολής της αίτησης χρηματοδότησης, με ανώτατο όριο το ποσό των 650.000€.</w:t>
      </w:r>
    </w:p>
    <w:p w14:paraId="565CF6B8"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Η Δράση συγχρηματοδοτείται από την Ευρωπαϊκή Ένωση, ειδικότερα από το Ευρωπαϊκό Ταμείο Περιφερειακής Ανάπτυξης (ΕΤΠΑ) και από το Ελληνικό Δημόσιο.</w:t>
      </w:r>
    </w:p>
    <w:p w14:paraId="4771E296"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Η μέγιστη διάρκεια ολοκλήρωσης φυσικού και οικονομικού αντικειμένου θα ορισθεί στην Αναλυτική Πρόσκληση της Δράσης, ωστόσο δεν αναμένεται να υπερβαίνει τους δεκαπέντε (15) μήνες από την ημερομηνία έκδοσης της Απόφασης Ένταξης.</w:t>
      </w:r>
    </w:p>
    <w:p w14:paraId="3F2D4A7D" w14:textId="478F614C" w:rsidR="00C240C6" w:rsidRDefault="00C240C6" w:rsidP="00D167A0">
      <w:pPr>
        <w:pStyle w:val="af0"/>
        <w:tabs>
          <w:tab w:val="left" w:pos="8222"/>
        </w:tabs>
        <w:spacing w:line="288" w:lineRule="auto"/>
        <w:ind w:left="284" w:right="323"/>
        <w:jc w:val="both"/>
        <w:rPr>
          <w:rFonts w:ascii="Times New Roman" w:hAnsi="Times New Roman" w:cs="Times New Roman"/>
          <w:u w:val="single"/>
        </w:rPr>
      </w:pPr>
    </w:p>
    <w:p w14:paraId="7574F600" w14:textId="77777777"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u w:val="single"/>
        </w:rPr>
      </w:pPr>
      <w:r w:rsidRPr="00CB218B">
        <w:rPr>
          <w:rFonts w:ascii="Times New Roman" w:hAnsi="Times New Roman" w:cs="Times New Roman"/>
          <w:sz w:val="24"/>
          <w:szCs w:val="24"/>
          <w:u w:val="single"/>
        </w:rPr>
        <w:t>Ένταση ενίσχυσης</w:t>
      </w:r>
    </w:p>
    <w:tbl>
      <w:tblPr>
        <w:tblStyle w:val="ab"/>
        <w:tblW w:w="0" w:type="auto"/>
        <w:tblInd w:w="-5" w:type="dxa"/>
        <w:tblLayout w:type="fixed"/>
        <w:tblLook w:val="04A0" w:firstRow="1" w:lastRow="0" w:firstColumn="1" w:lastColumn="0" w:noHBand="0" w:noVBand="1"/>
      </w:tblPr>
      <w:tblGrid>
        <w:gridCol w:w="1447"/>
        <w:gridCol w:w="1672"/>
        <w:gridCol w:w="1417"/>
        <w:gridCol w:w="1418"/>
        <w:gridCol w:w="1199"/>
        <w:gridCol w:w="1390"/>
      </w:tblGrid>
      <w:tr w:rsidR="00C240C6" w:rsidRPr="00ED1475" w14:paraId="7A185902" w14:textId="77777777" w:rsidTr="00C240C6">
        <w:tc>
          <w:tcPr>
            <w:tcW w:w="8543" w:type="dxa"/>
            <w:gridSpan w:val="6"/>
          </w:tcPr>
          <w:p w14:paraId="230E63D3" w14:textId="77777777" w:rsidR="00C240C6" w:rsidRPr="00C240C6" w:rsidRDefault="00C240C6" w:rsidP="007362CD">
            <w:pPr>
              <w:jc w:val="center"/>
              <w:rPr>
                <w:rFonts w:ascii="Times New Roman" w:hAnsi="Times New Roman" w:cs="Times New Roman"/>
                <w:b/>
                <w:bCs/>
              </w:rPr>
            </w:pPr>
            <w:r w:rsidRPr="00C240C6">
              <w:rPr>
                <w:rFonts w:ascii="Times New Roman" w:hAnsi="Times New Roman" w:cs="Times New Roman"/>
                <w:b/>
                <w:bCs/>
              </w:rPr>
              <w:t>Ένταση Ενίσχυσης με βάση του Καν. ΕΕ 651/2014 (ΓΚΑΚ)</w:t>
            </w:r>
          </w:p>
        </w:tc>
      </w:tr>
      <w:tr w:rsidR="00C240C6" w:rsidRPr="00ED1475" w14:paraId="1832CBF4" w14:textId="77777777" w:rsidTr="00C240C6">
        <w:tc>
          <w:tcPr>
            <w:tcW w:w="1447" w:type="dxa"/>
            <w:vMerge w:val="restart"/>
          </w:tcPr>
          <w:p w14:paraId="131BAD3F" w14:textId="77777777" w:rsidR="00C240C6" w:rsidRPr="00C240C6" w:rsidRDefault="00C240C6" w:rsidP="007362CD">
            <w:pPr>
              <w:jc w:val="center"/>
              <w:rPr>
                <w:rFonts w:ascii="Times New Roman" w:hAnsi="Times New Roman" w:cs="Times New Roman"/>
              </w:rPr>
            </w:pPr>
          </w:p>
        </w:tc>
        <w:tc>
          <w:tcPr>
            <w:tcW w:w="1672" w:type="dxa"/>
            <w:vMerge w:val="restart"/>
          </w:tcPr>
          <w:p w14:paraId="27D205C2" w14:textId="77777777" w:rsidR="00C240C6" w:rsidRPr="00C240C6" w:rsidRDefault="00C240C6" w:rsidP="007362CD">
            <w:pPr>
              <w:jc w:val="center"/>
              <w:rPr>
                <w:rFonts w:ascii="Times New Roman" w:hAnsi="Times New Roman" w:cs="Times New Roman"/>
              </w:rPr>
            </w:pPr>
          </w:p>
          <w:p w14:paraId="3F339BF9"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Περιφέρειες</w:t>
            </w:r>
          </w:p>
        </w:tc>
        <w:tc>
          <w:tcPr>
            <w:tcW w:w="2835" w:type="dxa"/>
            <w:gridSpan w:val="2"/>
          </w:tcPr>
          <w:p w14:paraId="39F377A6"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Δημόσια Επιχορήγηση (%)</w:t>
            </w:r>
          </w:p>
        </w:tc>
        <w:tc>
          <w:tcPr>
            <w:tcW w:w="2589" w:type="dxa"/>
            <w:gridSpan w:val="2"/>
          </w:tcPr>
          <w:p w14:paraId="4C41ED20"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Ιδιωτική Συμμετοχή (%)</w:t>
            </w:r>
          </w:p>
        </w:tc>
      </w:tr>
      <w:tr w:rsidR="00C240C6" w:rsidRPr="00ED1475" w14:paraId="1706F3B3" w14:textId="77777777" w:rsidTr="00C240C6">
        <w:tc>
          <w:tcPr>
            <w:tcW w:w="1447" w:type="dxa"/>
            <w:vMerge/>
            <w:tcBorders>
              <w:bottom w:val="double" w:sz="4" w:space="0" w:color="auto"/>
            </w:tcBorders>
          </w:tcPr>
          <w:p w14:paraId="6FC7159F" w14:textId="77777777" w:rsidR="00C240C6" w:rsidRPr="00C240C6" w:rsidRDefault="00C240C6" w:rsidP="007362CD">
            <w:pPr>
              <w:jc w:val="center"/>
              <w:rPr>
                <w:rFonts w:ascii="Times New Roman" w:hAnsi="Times New Roman" w:cs="Times New Roman"/>
              </w:rPr>
            </w:pPr>
          </w:p>
        </w:tc>
        <w:tc>
          <w:tcPr>
            <w:tcW w:w="1672" w:type="dxa"/>
            <w:vMerge/>
            <w:tcBorders>
              <w:bottom w:val="double" w:sz="4" w:space="0" w:color="auto"/>
            </w:tcBorders>
          </w:tcPr>
          <w:p w14:paraId="439567A0" w14:textId="77777777" w:rsidR="00C240C6" w:rsidRPr="00C240C6" w:rsidRDefault="00C240C6" w:rsidP="007362CD">
            <w:pPr>
              <w:pStyle w:val="Default"/>
              <w:jc w:val="both"/>
              <w:rPr>
                <w:rFonts w:ascii="Times New Roman" w:hAnsi="Times New Roman" w:cs="Times New Roman"/>
                <w:sz w:val="22"/>
                <w:szCs w:val="22"/>
              </w:rPr>
            </w:pPr>
          </w:p>
        </w:tc>
        <w:tc>
          <w:tcPr>
            <w:tcW w:w="1417" w:type="dxa"/>
            <w:tcBorders>
              <w:bottom w:val="double" w:sz="4" w:space="0" w:color="auto"/>
            </w:tcBorders>
          </w:tcPr>
          <w:p w14:paraId="55B5507F" w14:textId="77777777" w:rsidR="00C240C6" w:rsidRPr="00C240C6" w:rsidRDefault="00C240C6" w:rsidP="007362CD">
            <w:pPr>
              <w:pStyle w:val="Default"/>
              <w:jc w:val="center"/>
              <w:rPr>
                <w:rFonts w:ascii="Times New Roman" w:hAnsi="Times New Roman" w:cs="Times New Roman"/>
                <w:sz w:val="18"/>
                <w:szCs w:val="18"/>
              </w:rPr>
            </w:pPr>
            <w:proofErr w:type="spellStart"/>
            <w:r w:rsidRPr="00C240C6">
              <w:rPr>
                <w:rFonts w:ascii="Times New Roman" w:hAnsi="Times New Roman" w:cs="Times New Roman"/>
                <w:b/>
                <w:bCs/>
                <w:sz w:val="18"/>
                <w:szCs w:val="18"/>
              </w:rPr>
              <w:t>Μεσ</w:t>
            </w:r>
            <w:proofErr w:type="spellEnd"/>
            <w:r w:rsidRPr="00C240C6">
              <w:rPr>
                <w:rFonts w:ascii="Times New Roman" w:hAnsi="Times New Roman" w:cs="Times New Roman"/>
                <w:b/>
                <w:bCs/>
                <w:sz w:val="18"/>
                <w:szCs w:val="18"/>
              </w:rPr>
              <w:t>αίες Επ</w:t>
            </w:r>
            <w:proofErr w:type="spellStart"/>
            <w:r w:rsidRPr="00C240C6">
              <w:rPr>
                <w:rFonts w:ascii="Times New Roman" w:hAnsi="Times New Roman" w:cs="Times New Roman"/>
                <w:b/>
                <w:bCs/>
                <w:sz w:val="18"/>
                <w:szCs w:val="18"/>
              </w:rPr>
              <w:t>ιχειρήσεις</w:t>
            </w:r>
            <w:proofErr w:type="spellEnd"/>
          </w:p>
        </w:tc>
        <w:tc>
          <w:tcPr>
            <w:tcW w:w="1418" w:type="dxa"/>
            <w:tcBorders>
              <w:bottom w:val="double" w:sz="4" w:space="0" w:color="auto"/>
            </w:tcBorders>
          </w:tcPr>
          <w:p w14:paraId="27DDFD24" w14:textId="77777777" w:rsidR="00C240C6" w:rsidRPr="00C240C6" w:rsidRDefault="00C240C6" w:rsidP="007362CD">
            <w:pPr>
              <w:pStyle w:val="Default"/>
              <w:jc w:val="center"/>
              <w:rPr>
                <w:rFonts w:ascii="Times New Roman" w:hAnsi="Times New Roman" w:cs="Times New Roman"/>
                <w:sz w:val="18"/>
                <w:szCs w:val="18"/>
              </w:rPr>
            </w:pPr>
            <w:proofErr w:type="spellStart"/>
            <w:r w:rsidRPr="00C240C6">
              <w:rPr>
                <w:rFonts w:ascii="Times New Roman" w:hAnsi="Times New Roman" w:cs="Times New Roman"/>
                <w:b/>
                <w:bCs/>
                <w:sz w:val="18"/>
                <w:szCs w:val="18"/>
              </w:rPr>
              <w:t>Μικρές</w:t>
            </w:r>
            <w:proofErr w:type="spellEnd"/>
            <w:r w:rsidRPr="00C240C6">
              <w:rPr>
                <w:rFonts w:ascii="Times New Roman" w:hAnsi="Times New Roman" w:cs="Times New Roman"/>
                <w:b/>
                <w:bCs/>
                <w:sz w:val="18"/>
                <w:szCs w:val="18"/>
              </w:rPr>
              <w:t xml:space="preserve"> &amp; π</w:t>
            </w:r>
            <w:proofErr w:type="spellStart"/>
            <w:r w:rsidRPr="00C240C6">
              <w:rPr>
                <w:rFonts w:ascii="Times New Roman" w:hAnsi="Times New Roman" w:cs="Times New Roman"/>
                <w:b/>
                <w:bCs/>
                <w:sz w:val="18"/>
                <w:szCs w:val="18"/>
              </w:rPr>
              <w:t>ολύ</w:t>
            </w:r>
            <w:proofErr w:type="spellEnd"/>
            <w:r w:rsidRPr="00C240C6">
              <w:rPr>
                <w:rFonts w:ascii="Times New Roman" w:hAnsi="Times New Roman" w:cs="Times New Roman"/>
                <w:b/>
                <w:bCs/>
                <w:sz w:val="18"/>
                <w:szCs w:val="18"/>
              </w:rPr>
              <w:t xml:space="preserve"> </w:t>
            </w:r>
            <w:proofErr w:type="spellStart"/>
            <w:r w:rsidRPr="00C240C6">
              <w:rPr>
                <w:rFonts w:ascii="Times New Roman" w:hAnsi="Times New Roman" w:cs="Times New Roman"/>
                <w:b/>
                <w:bCs/>
                <w:sz w:val="18"/>
                <w:szCs w:val="18"/>
              </w:rPr>
              <w:t>Μικρές</w:t>
            </w:r>
            <w:proofErr w:type="spellEnd"/>
            <w:r w:rsidRPr="00C240C6">
              <w:rPr>
                <w:rFonts w:ascii="Times New Roman" w:hAnsi="Times New Roman" w:cs="Times New Roman"/>
                <w:b/>
                <w:bCs/>
                <w:sz w:val="18"/>
                <w:szCs w:val="18"/>
              </w:rPr>
              <w:t xml:space="preserve"> Επ</w:t>
            </w:r>
            <w:proofErr w:type="spellStart"/>
            <w:r w:rsidRPr="00C240C6">
              <w:rPr>
                <w:rFonts w:ascii="Times New Roman" w:hAnsi="Times New Roman" w:cs="Times New Roman"/>
                <w:b/>
                <w:bCs/>
                <w:sz w:val="18"/>
                <w:szCs w:val="18"/>
              </w:rPr>
              <w:t>ιχειρήσεις</w:t>
            </w:r>
            <w:proofErr w:type="spellEnd"/>
          </w:p>
        </w:tc>
        <w:tc>
          <w:tcPr>
            <w:tcW w:w="1199" w:type="dxa"/>
            <w:tcBorders>
              <w:bottom w:val="double" w:sz="4" w:space="0" w:color="auto"/>
            </w:tcBorders>
          </w:tcPr>
          <w:p w14:paraId="0A45223A" w14:textId="77777777" w:rsidR="00C240C6" w:rsidRPr="00C240C6" w:rsidRDefault="00C240C6" w:rsidP="007362CD">
            <w:pPr>
              <w:pStyle w:val="Default"/>
              <w:jc w:val="center"/>
              <w:rPr>
                <w:rFonts w:ascii="Times New Roman" w:hAnsi="Times New Roman" w:cs="Times New Roman"/>
                <w:sz w:val="18"/>
                <w:szCs w:val="18"/>
              </w:rPr>
            </w:pPr>
            <w:proofErr w:type="spellStart"/>
            <w:r w:rsidRPr="00C240C6">
              <w:rPr>
                <w:rFonts w:ascii="Times New Roman" w:hAnsi="Times New Roman" w:cs="Times New Roman"/>
                <w:b/>
                <w:bCs/>
                <w:sz w:val="18"/>
                <w:szCs w:val="18"/>
              </w:rPr>
              <w:t>Μεσ</w:t>
            </w:r>
            <w:proofErr w:type="spellEnd"/>
            <w:r w:rsidRPr="00C240C6">
              <w:rPr>
                <w:rFonts w:ascii="Times New Roman" w:hAnsi="Times New Roman" w:cs="Times New Roman"/>
                <w:b/>
                <w:bCs/>
                <w:sz w:val="18"/>
                <w:szCs w:val="18"/>
              </w:rPr>
              <w:t>αίες Επ</w:t>
            </w:r>
            <w:proofErr w:type="spellStart"/>
            <w:r w:rsidRPr="00C240C6">
              <w:rPr>
                <w:rFonts w:ascii="Times New Roman" w:hAnsi="Times New Roman" w:cs="Times New Roman"/>
                <w:b/>
                <w:bCs/>
                <w:sz w:val="18"/>
                <w:szCs w:val="18"/>
              </w:rPr>
              <w:t>ιχειρήσεις</w:t>
            </w:r>
            <w:proofErr w:type="spellEnd"/>
            <w:r w:rsidRPr="00C240C6">
              <w:rPr>
                <w:rFonts w:ascii="Times New Roman" w:hAnsi="Times New Roman" w:cs="Times New Roman"/>
                <w:b/>
                <w:bCs/>
                <w:sz w:val="18"/>
                <w:szCs w:val="18"/>
              </w:rPr>
              <w:t xml:space="preserve"> </w:t>
            </w:r>
          </w:p>
        </w:tc>
        <w:tc>
          <w:tcPr>
            <w:tcW w:w="1390" w:type="dxa"/>
            <w:tcBorders>
              <w:bottom w:val="double" w:sz="4" w:space="0" w:color="auto"/>
            </w:tcBorders>
          </w:tcPr>
          <w:p w14:paraId="193EBDE0" w14:textId="77777777" w:rsidR="00C240C6" w:rsidRPr="00C240C6" w:rsidRDefault="00C240C6" w:rsidP="007362CD">
            <w:pPr>
              <w:pStyle w:val="Default"/>
              <w:jc w:val="center"/>
              <w:rPr>
                <w:rFonts w:ascii="Times New Roman" w:hAnsi="Times New Roman" w:cs="Times New Roman"/>
                <w:sz w:val="18"/>
                <w:szCs w:val="18"/>
              </w:rPr>
            </w:pPr>
            <w:proofErr w:type="spellStart"/>
            <w:r w:rsidRPr="00C240C6">
              <w:rPr>
                <w:rFonts w:ascii="Times New Roman" w:hAnsi="Times New Roman" w:cs="Times New Roman"/>
                <w:b/>
                <w:bCs/>
                <w:sz w:val="18"/>
                <w:szCs w:val="18"/>
              </w:rPr>
              <w:t>Μικρές</w:t>
            </w:r>
            <w:proofErr w:type="spellEnd"/>
            <w:r w:rsidRPr="00C240C6">
              <w:rPr>
                <w:rFonts w:ascii="Times New Roman" w:hAnsi="Times New Roman" w:cs="Times New Roman"/>
                <w:b/>
                <w:bCs/>
                <w:sz w:val="18"/>
                <w:szCs w:val="18"/>
              </w:rPr>
              <w:t xml:space="preserve"> &amp; π</w:t>
            </w:r>
            <w:proofErr w:type="spellStart"/>
            <w:r w:rsidRPr="00C240C6">
              <w:rPr>
                <w:rFonts w:ascii="Times New Roman" w:hAnsi="Times New Roman" w:cs="Times New Roman"/>
                <w:b/>
                <w:bCs/>
                <w:sz w:val="18"/>
                <w:szCs w:val="18"/>
              </w:rPr>
              <w:t>ολύ</w:t>
            </w:r>
            <w:proofErr w:type="spellEnd"/>
            <w:r w:rsidRPr="00C240C6">
              <w:rPr>
                <w:rFonts w:ascii="Times New Roman" w:hAnsi="Times New Roman" w:cs="Times New Roman"/>
                <w:b/>
                <w:bCs/>
                <w:sz w:val="18"/>
                <w:szCs w:val="18"/>
              </w:rPr>
              <w:t xml:space="preserve"> </w:t>
            </w:r>
            <w:proofErr w:type="spellStart"/>
            <w:r w:rsidRPr="00C240C6">
              <w:rPr>
                <w:rFonts w:ascii="Times New Roman" w:hAnsi="Times New Roman" w:cs="Times New Roman"/>
                <w:b/>
                <w:bCs/>
                <w:sz w:val="18"/>
                <w:szCs w:val="18"/>
              </w:rPr>
              <w:t>Μικρές</w:t>
            </w:r>
            <w:proofErr w:type="spellEnd"/>
            <w:r w:rsidRPr="00C240C6">
              <w:rPr>
                <w:rFonts w:ascii="Times New Roman" w:hAnsi="Times New Roman" w:cs="Times New Roman"/>
                <w:b/>
                <w:bCs/>
                <w:sz w:val="18"/>
                <w:szCs w:val="18"/>
              </w:rPr>
              <w:t xml:space="preserve"> Επ</w:t>
            </w:r>
            <w:proofErr w:type="spellStart"/>
            <w:r w:rsidRPr="00C240C6">
              <w:rPr>
                <w:rFonts w:ascii="Times New Roman" w:hAnsi="Times New Roman" w:cs="Times New Roman"/>
                <w:b/>
                <w:bCs/>
                <w:sz w:val="18"/>
                <w:szCs w:val="18"/>
              </w:rPr>
              <w:t>ιχειρήσεις</w:t>
            </w:r>
            <w:proofErr w:type="spellEnd"/>
            <w:r w:rsidRPr="00C240C6">
              <w:rPr>
                <w:rFonts w:ascii="Times New Roman" w:hAnsi="Times New Roman" w:cs="Times New Roman"/>
                <w:b/>
                <w:bCs/>
                <w:sz w:val="18"/>
                <w:szCs w:val="18"/>
              </w:rPr>
              <w:t xml:space="preserve"> </w:t>
            </w:r>
          </w:p>
        </w:tc>
      </w:tr>
      <w:tr w:rsidR="00C240C6" w:rsidRPr="00ED1475" w14:paraId="18D50026" w14:textId="77777777" w:rsidTr="00C240C6">
        <w:tc>
          <w:tcPr>
            <w:tcW w:w="1447" w:type="dxa"/>
            <w:vMerge w:val="restart"/>
            <w:tcBorders>
              <w:top w:val="double" w:sz="4" w:space="0" w:color="auto"/>
              <w:left w:val="double" w:sz="4" w:space="0" w:color="auto"/>
            </w:tcBorders>
          </w:tcPr>
          <w:p w14:paraId="00BFCBC9" w14:textId="77777777" w:rsidR="00C240C6" w:rsidRPr="00C240C6" w:rsidRDefault="00C240C6" w:rsidP="007362CD">
            <w:pPr>
              <w:jc w:val="center"/>
              <w:rPr>
                <w:rFonts w:ascii="Times New Roman" w:hAnsi="Times New Roman" w:cs="Times New Roman"/>
              </w:rPr>
            </w:pPr>
          </w:p>
          <w:p w14:paraId="58F98282" w14:textId="77777777" w:rsidR="00C240C6" w:rsidRPr="00C240C6" w:rsidRDefault="00C240C6" w:rsidP="007362CD">
            <w:pPr>
              <w:rPr>
                <w:rFonts w:ascii="Times New Roman" w:hAnsi="Times New Roman" w:cs="Times New Roman"/>
              </w:rPr>
            </w:pPr>
          </w:p>
          <w:p w14:paraId="7710A0AC" w14:textId="77777777" w:rsidR="00C240C6" w:rsidRPr="00C240C6" w:rsidRDefault="00C240C6" w:rsidP="007362CD">
            <w:pPr>
              <w:jc w:val="center"/>
              <w:rPr>
                <w:rFonts w:ascii="Times New Roman" w:hAnsi="Times New Roman" w:cs="Times New Roman"/>
              </w:rPr>
            </w:pPr>
          </w:p>
          <w:p w14:paraId="53F0DDEB" w14:textId="77777777" w:rsidR="00C240C6" w:rsidRPr="00C240C6" w:rsidRDefault="00C240C6" w:rsidP="007362CD">
            <w:pPr>
              <w:jc w:val="center"/>
              <w:rPr>
                <w:rFonts w:ascii="Times New Roman" w:hAnsi="Times New Roman" w:cs="Times New Roman"/>
              </w:rPr>
            </w:pPr>
          </w:p>
          <w:p w14:paraId="5A7E6EE4"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Επιλέξιμες Δαπάνες (Σύμφωνα με το Άρθρο 14)</w:t>
            </w:r>
          </w:p>
          <w:p w14:paraId="3F70F798" w14:textId="77777777" w:rsidR="00C240C6" w:rsidRPr="00C240C6" w:rsidRDefault="00C240C6" w:rsidP="007362CD">
            <w:pPr>
              <w:rPr>
                <w:rFonts w:ascii="Times New Roman" w:hAnsi="Times New Roman" w:cs="Times New Roman"/>
              </w:rPr>
            </w:pPr>
          </w:p>
        </w:tc>
        <w:tc>
          <w:tcPr>
            <w:tcW w:w="1672" w:type="dxa"/>
            <w:tcBorders>
              <w:top w:val="double" w:sz="4" w:space="0" w:color="auto"/>
            </w:tcBorders>
          </w:tcPr>
          <w:p w14:paraId="6BD76918" w14:textId="77777777" w:rsidR="00C240C6" w:rsidRPr="00C240C6" w:rsidRDefault="00C240C6" w:rsidP="007362CD">
            <w:pPr>
              <w:pStyle w:val="Default"/>
              <w:jc w:val="both"/>
              <w:rPr>
                <w:rFonts w:ascii="Times New Roman" w:hAnsi="Times New Roman" w:cs="Times New Roman"/>
                <w:sz w:val="22"/>
                <w:szCs w:val="22"/>
                <w:lang w:val="el-GR"/>
              </w:rPr>
            </w:pPr>
            <w:r w:rsidRPr="00C240C6">
              <w:rPr>
                <w:rFonts w:ascii="Times New Roman" w:hAnsi="Times New Roman" w:cs="Times New Roman"/>
                <w:sz w:val="22"/>
                <w:szCs w:val="22"/>
                <w:lang w:val="el-GR"/>
              </w:rPr>
              <w:t xml:space="preserve">Βόρειο Αιγαίο, Κρήτη, Ανατ. Μακεδονία – Θράκη, Κεντρική Μακεδονία, Δυτική Μακεδονία, Ήπειρος, Θεσσαλία, Ιόνια Νησιά, Δυτική Ελλάδα, Στερεά Ελλάδα, Πελοπόννησος </w:t>
            </w:r>
          </w:p>
        </w:tc>
        <w:tc>
          <w:tcPr>
            <w:tcW w:w="1417" w:type="dxa"/>
            <w:tcBorders>
              <w:top w:val="double" w:sz="4" w:space="0" w:color="auto"/>
            </w:tcBorders>
          </w:tcPr>
          <w:p w14:paraId="41E7A69E" w14:textId="77777777" w:rsidR="00C240C6" w:rsidRPr="00C240C6" w:rsidRDefault="00C240C6" w:rsidP="007362CD">
            <w:pPr>
              <w:jc w:val="both"/>
              <w:rPr>
                <w:rFonts w:ascii="Times New Roman" w:hAnsi="Times New Roman" w:cs="Times New Roman"/>
              </w:rPr>
            </w:pPr>
          </w:p>
          <w:p w14:paraId="6EEFE0A0" w14:textId="77777777" w:rsidR="00C240C6" w:rsidRPr="00C240C6" w:rsidRDefault="00C240C6" w:rsidP="007362CD">
            <w:pPr>
              <w:jc w:val="both"/>
              <w:rPr>
                <w:rFonts w:ascii="Times New Roman" w:hAnsi="Times New Roman" w:cs="Times New Roman"/>
              </w:rPr>
            </w:pPr>
          </w:p>
          <w:p w14:paraId="0389432E"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50%</w:t>
            </w:r>
          </w:p>
        </w:tc>
        <w:tc>
          <w:tcPr>
            <w:tcW w:w="1418" w:type="dxa"/>
            <w:tcBorders>
              <w:top w:val="double" w:sz="4" w:space="0" w:color="auto"/>
            </w:tcBorders>
          </w:tcPr>
          <w:p w14:paraId="43E2E24D" w14:textId="77777777" w:rsidR="00C240C6" w:rsidRPr="00C240C6" w:rsidRDefault="00C240C6" w:rsidP="007362CD">
            <w:pPr>
              <w:jc w:val="center"/>
              <w:rPr>
                <w:rFonts w:ascii="Times New Roman" w:hAnsi="Times New Roman" w:cs="Times New Roman"/>
              </w:rPr>
            </w:pPr>
          </w:p>
          <w:p w14:paraId="72106C5A" w14:textId="77777777" w:rsidR="00C240C6" w:rsidRPr="00C240C6" w:rsidRDefault="00C240C6" w:rsidP="007362CD">
            <w:pPr>
              <w:jc w:val="center"/>
              <w:rPr>
                <w:rFonts w:ascii="Times New Roman" w:hAnsi="Times New Roman" w:cs="Times New Roman"/>
              </w:rPr>
            </w:pPr>
          </w:p>
          <w:p w14:paraId="7B19A45D"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50%</w:t>
            </w:r>
          </w:p>
        </w:tc>
        <w:tc>
          <w:tcPr>
            <w:tcW w:w="1199" w:type="dxa"/>
            <w:tcBorders>
              <w:top w:val="double" w:sz="4" w:space="0" w:color="auto"/>
            </w:tcBorders>
          </w:tcPr>
          <w:p w14:paraId="21C384BD" w14:textId="77777777" w:rsidR="00C240C6" w:rsidRPr="00C240C6" w:rsidRDefault="00C240C6" w:rsidP="007362CD">
            <w:pPr>
              <w:jc w:val="both"/>
              <w:rPr>
                <w:rFonts w:ascii="Times New Roman" w:hAnsi="Times New Roman" w:cs="Times New Roman"/>
              </w:rPr>
            </w:pPr>
          </w:p>
          <w:p w14:paraId="64C8115D" w14:textId="77777777" w:rsidR="00C240C6" w:rsidRPr="00C240C6" w:rsidRDefault="00C240C6" w:rsidP="007362CD">
            <w:pPr>
              <w:jc w:val="both"/>
              <w:rPr>
                <w:rFonts w:ascii="Times New Roman" w:hAnsi="Times New Roman" w:cs="Times New Roman"/>
              </w:rPr>
            </w:pPr>
          </w:p>
          <w:p w14:paraId="6A4EFA4B"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50%</w:t>
            </w:r>
          </w:p>
        </w:tc>
        <w:tc>
          <w:tcPr>
            <w:tcW w:w="1390" w:type="dxa"/>
            <w:tcBorders>
              <w:top w:val="double" w:sz="4" w:space="0" w:color="auto"/>
              <w:right w:val="double" w:sz="4" w:space="0" w:color="auto"/>
            </w:tcBorders>
          </w:tcPr>
          <w:p w14:paraId="72E50375" w14:textId="77777777" w:rsidR="00C240C6" w:rsidRPr="00C240C6" w:rsidRDefault="00C240C6" w:rsidP="007362CD">
            <w:pPr>
              <w:jc w:val="both"/>
              <w:rPr>
                <w:rFonts w:ascii="Times New Roman" w:hAnsi="Times New Roman" w:cs="Times New Roman"/>
              </w:rPr>
            </w:pPr>
          </w:p>
          <w:p w14:paraId="56C29524" w14:textId="77777777" w:rsidR="00C240C6" w:rsidRPr="00C240C6" w:rsidRDefault="00C240C6" w:rsidP="007362CD">
            <w:pPr>
              <w:jc w:val="both"/>
              <w:rPr>
                <w:rFonts w:ascii="Times New Roman" w:hAnsi="Times New Roman" w:cs="Times New Roman"/>
              </w:rPr>
            </w:pPr>
          </w:p>
          <w:p w14:paraId="01E066D1"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50%</w:t>
            </w:r>
          </w:p>
        </w:tc>
      </w:tr>
      <w:tr w:rsidR="00C240C6" w:rsidRPr="00ED1475" w14:paraId="5565DCEA" w14:textId="77777777" w:rsidTr="00C240C6">
        <w:tc>
          <w:tcPr>
            <w:tcW w:w="1447" w:type="dxa"/>
            <w:vMerge/>
            <w:tcBorders>
              <w:left w:val="double" w:sz="4" w:space="0" w:color="auto"/>
            </w:tcBorders>
          </w:tcPr>
          <w:p w14:paraId="3E736954" w14:textId="77777777" w:rsidR="00C240C6" w:rsidRPr="00C240C6" w:rsidRDefault="00C240C6" w:rsidP="007362CD">
            <w:pPr>
              <w:jc w:val="both"/>
              <w:rPr>
                <w:rFonts w:ascii="Times New Roman" w:hAnsi="Times New Roman" w:cs="Times New Roman"/>
              </w:rPr>
            </w:pPr>
          </w:p>
        </w:tc>
        <w:tc>
          <w:tcPr>
            <w:tcW w:w="1672" w:type="dxa"/>
          </w:tcPr>
          <w:p w14:paraId="6C9C9CD8" w14:textId="77777777" w:rsidR="00C240C6" w:rsidRPr="00C240C6" w:rsidRDefault="00C240C6" w:rsidP="007362CD">
            <w:pPr>
              <w:pStyle w:val="Default"/>
              <w:jc w:val="center"/>
              <w:rPr>
                <w:rFonts w:ascii="Times New Roman" w:hAnsi="Times New Roman" w:cs="Times New Roman"/>
                <w:sz w:val="22"/>
                <w:szCs w:val="22"/>
              </w:rPr>
            </w:pPr>
            <w:proofErr w:type="spellStart"/>
            <w:r w:rsidRPr="00C240C6">
              <w:rPr>
                <w:rFonts w:ascii="Times New Roman" w:hAnsi="Times New Roman" w:cs="Times New Roman"/>
                <w:sz w:val="22"/>
                <w:szCs w:val="22"/>
              </w:rPr>
              <w:t>Νότιο</w:t>
            </w:r>
            <w:proofErr w:type="spellEnd"/>
            <w:r w:rsidRPr="00C240C6">
              <w:rPr>
                <w:rFonts w:ascii="Times New Roman" w:hAnsi="Times New Roman" w:cs="Times New Roman"/>
                <w:sz w:val="22"/>
                <w:szCs w:val="22"/>
              </w:rPr>
              <w:t xml:space="preserve"> </w:t>
            </w:r>
            <w:proofErr w:type="spellStart"/>
            <w:r w:rsidRPr="00C240C6">
              <w:rPr>
                <w:rFonts w:ascii="Times New Roman" w:hAnsi="Times New Roman" w:cs="Times New Roman"/>
                <w:sz w:val="22"/>
                <w:szCs w:val="22"/>
              </w:rPr>
              <w:t>Αιγ</w:t>
            </w:r>
            <w:proofErr w:type="spellEnd"/>
            <w:r w:rsidRPr="00C240C6">
              <w:rPr>
                <w:rFonts w:ascii="Times New Roman" w:hAnsi="Times New Roman" w:cs="Times New Roman"/>
                <w:sz w:val="22"/>
                <w:szCs w:val="22"/>
              </w:rPr>
              <w:t xml:space="preserve">αίο </w:t>
            </w:r>
          </w:p>
        </w:tc>
        <w:tc>
          <w:tcPr>
            <w:tcW w:w="1417" w:type="dxa"/>
          </w:tcPr>
          <w:p w14:paraId="4F3A08CC"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40%</w:t>
            </w:r>
          </w:p>
        </w:tc>
        <w:tc>
          <w:tcPr>
            <w:tcW w:w="1418" w:type="dxa"/>
          </w:tcPr>
          <w:p w14:paraId="00705D8B"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50%</w:t>
            </w:r>
          </w:p>
        </w:tc>
        <w:tc>
          <w:tcPr>
            <w:tcW w:w="1199" w:type="dxa"/>
          </w:tcPr>
          <w:p w14:paraId="71C15265"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60%</w:t>
            </w:r>
          </w:p>
        </w:tc>
        <w:tc>
          <w:tcPr>
            <w:tcW w:w="1390" w:type="dxa"/>
            <w:tcBorders>
              <w:right w:val="double" w:sz="4" w:space="0" w:color="auto"/>
            </w:tcBorders>
          </w:tcPr>
          <w:p w14:paraId="2082CFAD"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50%</w:t>
            </w:r>
          </w:p>
        </w:tc>
      </w:tr>
      <w:tr w:rsidR="00C240C6" w:rsidRPr="00ED1475" w14:paraId="43DD561D" w14:textId="77777777" w:rsidTr="00C240C6">
        <w:tc>
          <w:tcPr>
            <w:tcW w:w="1447" w:type="dxa"/>
            <w:vMerge/>
            <w:tcBorders>
              <w:left w:val="double" w:sz="4" w:space="0" w:color="auto"/>
            </w:tcBorders>
          </w:tcPr>
          <w:p w14:paraId="3FD8D845" w14:textId="77777777" w:rsidR="00C240C6" w:rsidRPr="00C240C6" w:rsidRDefault="00C240C6" w:rsidP="007362CD">
            <w:pPr>
              <w:jc w:val="both"/>
              <w:rPr>
                <w:rFonts w:ascii="Times New Roman" w:hAnsi="Times New Roman" w:cs="Times New Roman"/>
              </w:rPr>
            </w:pPr>
          </w:p>
        </w:tc>
        <w:tc>
          <w:tcPr>
            <w:tcW w:w="1672" w:type="dxa"/>
          </w:tcPr>
          <w:p w14:paraId="7CEDB20B" w14:textId="77777777" w:rsidR="00C240C6" w:rsidRPr="00C240C6" w:rsidRDefault="00C240C6" w:rsidP="007362CD">
            <w:pPr>
              <w:pStyle w:val="Default"/>
              <w:jc w:val="center"/>
              <w:rPr>
                <w:rFonts w:ascii="Times New Roman" w:hAnsi="Times New Roman" w:cs="Times New Roman"/>
                <w:sz w:val="22"/>
                <w:szCs w:val="22"/>
              </w:rPr>
            </w:pPr>
            <w:proofErr w:type="spellStart"/>
            <w:r w:rsidRPr="00C240C6">
              <w:rPr>
                <w:rFonts w:ascii="Times New Roman" w:hAnsi="Times New Roman" w:cs="Times New Roman"/>
                <w:sz w:val="22"/>
                <w:szCs w:val="22"/>
              </w:rPr>
              <w:t>Δυτικός</w:t>
            </w:r>
            <w:proofErr w:type="spellEnd"/>
            <w:r w:rsidRPr="00C240C6">
              <w:rPr>
                <w:rFonts w:ascii="Times New Roman" w:hAnsi="Times New Roman" w:cs="Times New Roman"/>
                <w:sz w:val="22"/>
                <w:szCs w:val="22"/>
              </w:rPr>
              <w:t xml:space="preserve"> </w:t>
            </w:r>
            <w:proofErr w:type="spellStart"/>
            <w:r w:rsidRPr="00C240C6">
              <w:rPr>
                <w:rFonts w:ascii="Times New Roman" w:hAnsi="Times New Roman" w:cs="Times New Roman"/>
                <w:sz w:val="22"/>
                <w:szCs w:val="22"/>
              </w:rPr>
              <w:t>Τομέ</w:t>
            </w:r>
            <w:proofErr w:type="spellEnd"/>
            <w:r w:rsidRPr="00C240C6">
              <w:rPr>
                <w:rFonts w:ascii="Times New Roman" w:hAnsi="Times New Roman" w:cs="Times New Roman"/>
                <w:sz w:val="22"/>
                <w:szCs w:val="22"/>
              </w:rPr>
              <w:t xml:space="preserve">ας </w:t>
            </w:r>
            <w:proofErr w:type="spellStart"/>
            <w:r w:rsidRPr="00C240C6">
              <w:rPr>
                <w:rFonts w:ascii="Times New Roman" w:hAnsi="Times New Roman" w:cs="Times New Roman"/>
                <w:sz w:val="22"/>
                <w:szCs w:val="22"/>
              </w:rPr>
              <w:t>Αθηνών</w:t>
            </w:r>
            <w:proofErr w:type="spellEnd"/>
          </w:p>
        </w:tc>
        <w:tc>
          <w:tcPr>
            <w:tcW w:w="1417" w:type="dxa"/>
          </w:tcPr>
          <w:p w14:paraId="45D44E2D"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25%</w:t>
            </w:r>
          </w:p>
        </w:tc>
        <w:tc>
          <w:tcPr>
            <w:tcW w:w="1418" w:type="dxa"/>
          </w:tcPr>
          <w:p w14:paraId="7CC7E9B0"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35%</w:t>
            </w:r>
          </w:p>
        </w:tc>
        <w:tc>
          <w:tcPr>
            <w:tcW w:w="1199" w:type="dxa"/>
          </w:tcPr>
          <w:p w14:paraId="1C5D00DF"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75%</w:t>
            </w:r>
          </w:p>
        </w:tc>
        <w:tc>
          <w:tcPr>
            <w:tcW w:w="1390" w:type="dxa"/>
            <w:tcBorders>
              <w:right w:val="double" w:sz="4" w:space="0" w:color="auto"/>
            </w:tcBorders>
          </w:tcPr>
          <w:p w14:paraId="36F72F46"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65%</w:t>
            </w:r>
          </w:p>
        </w:tc>
      </w:tr>
      <w:tr w:rsidR="00C240C6" w:rsidRPr="00ED1475" w14:paraId="11140710" w14:textId="77777777" w:rsidTr="00C240C6">
        <w:tc>
          <w:tcPr>
            <w:tcW w:w="1447" w:type="dxa"/>
            <w:vMerge/>
            <w:tcBorders>
              <w:left w:val="double" w:sz="4" w:space="0" w:color="auto"/>
            </w:tcBorders>
          </w:tcPr>
          <w:p w14:paraId="1D3D6D88" w14:textId="77777777" w:rsidR="00C240C6" w:rsidRPr="00C240C6" w:rsidRDefault="00C240C6" w:rsidP="007362CD">
            <w:pPr>
              <w:jc w:val="both"/>
              <w:rPr>
                <w:rFonts w:ascii="Times New Roman" w:hAnsi="Times New Roman" w:cs="Times New Roman"/>
              </w:rPr>
            </w:pPr>
          </w:p>
        </w:tc>
        <w:tc>
          <w:tcPr>
            <w:tcW w:w="1672" w:type="dxa"/>
          </w:tcPr>
          <w:p w14:paraId="589FA976" w14:textId="77777777" w:rsidR="00C240C6" w:rsidRPr="00C240C6" w:rsidRDefault="00C240C6" w:rsidP="007362CD">
            <w:pPr>
              <w:pStyle w:val="Default"/>
              <w:jc w:val="center"/>
              <w:rPr>
                <w:rFonts w:ascii="Times New Roman" w:hAnsi="Times New Roman" w:cs="Times New Roman"/>
                <w:sz w:val="22"/>
                <w:szCs w:val="22"/>
              </w:rPr>
            </w:pPr>
            <w:proofErr w:type="spellStart"/>
            <w:r w:rsidRPr="00C240C6">
              <w:rPr>
                <w:rFonts w:ascii="Times New Roman" w:hAnsi="Times New Roman" w:cs="Times New Roman"/>
                <w:sz w:val="22"/>
                <w:szCs w:val="22"/>
              </w:rPr>
              <w:t>Αν</w:t>
            </w:r>
            <w:proofErr w:type="spellEnd"/>
            <w:r w:rsidRPr="00C240C6">
              <w:rPr>
                <w:rFonts w:ascii="Times New Roman" w:hAnsi="Times New Roman" w:cs="Times New Roman"/>
                <w:sz w:val="22"/>
                <w:szCs w:val="22"/>
              </w:rPr>
              <w:t xml:space="preserve">ατολική </w:t>
            </w:r>
            <w:proofErr w:type="spellStart"/>
            <w:r w:rsidRPr="00C240C6">
              <w:rPr>
                <w:rFonts w:ascii="Times New Roman" w:hAnsi="Times New Roman" w:cs="Times New Roman"/>
                <w:sz w:val="22"/>
                <w:szCs w:val="22"/>
              </w:rPr>
              <w:t>Αττική</w:t>
            </w:r>
            <w:proofErr w:type="spellEnd"/>
            <w:r w:rsidRPr="00C240C6">
              <w:rPr>
                <w:rFonts w:ascii="Times New Roman" w:hAnsi="Times New Roman" w:cs="Times New Roman"/>
                <w:sz w:val="22"/>
                <w:szCs w:val="22"/>
              </w:rPr>
              <w:t xml:space="preserve"> </w:t>
            </w:r>
          </w:p>
        </w:tc>
        <w:tc>
          <w:tcPr>
            <w:tcW w:w="1417" w:type="dxa"/>
          </w:tcPr>
          <w:p w14:paraId="0034F068"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35%</w:t>
            </w:r>
          </w:p>
        </w:tc>
        <w:tc>
          <w:tcPr>
            <w:tcW w:w="1418" w:type="dxa"/>
          </w:tcPr>
          <w:p w14:paraId="09F785C6"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45%</w:t>
            </w:r>
          </w:p>
        </w:tc>
        <w:tc>
          <w:tcPr>
            <w:tcW w:w="1199" w:type="dxa"/>
          </w:tcPr>
          <w:p w14:paraId="77D3B50D"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65%</w:t>
            </w:r>
          </w:p>
        </w:tc>
        <w:tc>
          <w:tcPr>
            <w:tcW w:w="1390" w:type="dxa"/>
            <w:tcBorders>
              <w:right w:val="double" w:sz="4" w:space="0" w:color="auto"/>
            </w:tcBorders>
          </w:tcPr>
          <w:p w14:paraId="0FD59DD1"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55%</w:t>
            </w:r>
          </w:p>
        </w:tc>
      </w:tr>
      <w:tr w:rsidR="00C240C6" w:rsidRPr="00ED1475" w14:paraId="6786F264" w14:textId="77777777" w:rsidTr="00C240C6">
        <w:tc>
          <w:tcPr>
            <w:tcW w:w="1447" w:type="dxa"/>
            <w:vMerge/>
            <w:tcBorders>
              <w:left w:val="double" w:sz="4" w:space="0" w:color="auto"/>
            </w:tcBorders>
          </w:tcPr>
          <w:p w14:paraId="485FA3C3" w14:textId="77777777" w:rsidR="00C240C6" w:rsidRPr="00C240C6" w:rsidRDefault="00C240C6" w:rsidP="007362CD">
            <w:pPr>
              <w:jc w:val="both"/>
              <w:rPr>
                <w:rFonts w:ascii="Times New Roman" w:hAnsi="Times New Roman" w:cs="Times New Roman"/>
              </w:rPr>
            </w:pPr>
          </w:p>
        </w:tc>
        <w:tc>
          <w:tcPr>
            <w:tcW w:w="1672" w:type="dxa"/>
          </w:tcPr>
          <w:p w14:paraId="181A5D76" w14:textId="77777777" w:rsidR="00C240C6" w:rsidRPr="00C240C6" w:rsidRDefault="00C240C6" w:rsidP="007362CD">
            <w:pPr>
              <w:pStyle w:val="Default"/>
              <w:jc w:val="center"/>
              <w:rPr>
                <w:rFonts w:ascii="Times New Roman" w:hAnsi="Times New Roman" w:cs="Times New Roman"/>
                <w:sz w:val="22"/>
                <w:szCs w:val="22"/>
              </w:rPr>
            </w:pPr>
            <w:proofErr w:type="spellStart"/>
            <w:r w:rsidRPr="00C240C6">
              <w:rPr>
                <w:rFonts w:ascii="Times New Roman" w:hAnsi="Times New Roman" w:cs="Times New Roman"/>
                <w:sz w:val="22"/>
                <w:szCs w:val="22"/>
              </w:rPr>
              <w:t>Δυτική</w:t>
            </w:r>
            <w:proofErr w:type="spellEnd"/>
            <w:r w:rsidRPr="00C240C6">
              <w:rPr>
                <w:rFonts w:ascii="Times New Roman" w:hAnsi="Times New Roman" w:cs="Times New Roman"/>
                <w:sz w:val="22"/>
                <w:szCs w:val="22"/>
              </w:rPr>
              <w:t xml:space="preserve"> </w:t>
            </w:r>
            <w:proofErr w:type="spellStart"/>
            <w:r w:rsidRPr="00C240C6">
              <w:rPr>
                <w:rFonts w:ascii="Times New Roman" w:hAnsi="Times New Roman" w:cs="Times New Roman"/>
                <w:sz w:val="22"/>
                <w:szCs w:val="22"/>
              </w:rPr>
              <w:t>Αττική</w:t>
            </w:r>
            <w:proofErr w:type="spellEnd"/>
          </w:p>
        </w:tc>
        <w:tc>
          <w:tcPr>
            <w:tcW w:w="1417" w:type="dxa"/>
          </w:tcPr>
          <w:p w14:paraId="468047BE"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35%</w:t>
            </w:r>
          </w:p>
        </w:tc>
        <w:tc>
          <w:tcPr>
            <w:tcW w:w="1418" w:type="dxa"/>
          </w:tcPr>
          <w:p w14:paraId="424D0FA0"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45%</w:t>
            </w:r>
          </w:p>
        </w:tc>
        <w:tc>
          <w:tcPr>
            <w:tcW w:w="1199" w:type="dxa"/>
          </w:tcPr>
          <w:p w14:paraId="215D5188"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65%</w:t>
            </w:r>
          </w:p>
        </w:tc>
        <w:tc>
          <w:tcPr>
            <w:tcW w:w="1390" w:type="dxa"/>
            <w:tcBorders>
              <w:right w:val="double" w:sz="4" w:space="0" w:color="auto"/>
            </w:tcBorders>
          </w:tcPr>
          <w:p w14:paraId="140D912C"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55%</w:t>
            </w:r>
          </w:p>
        </w:tc>
      </w:tr>
      <w:tr w:rsidR="00C240C6" w:rsidRPr="00ED1475" w14:paraId="5FB94250" w14:textId="77777777" w:rsidTr="00C240C6">
        <w:tc>
          <w:tcPr>
            <w:tcW w:w="1447" w:type="dxa"/>
            <w:vMerge/>
            <w:tcBorders>
              <w:left w:val="double" w:sz="4" w:space="0" w:color="auto"/>
              <w:bottom w:val="double" w:sz="4" w:space="0" w:color="auto"/>
            </w:tcBorders>
          </w:tcPr>
          <w:p w14:paraId="3F0DC304" w14:textId="77777777" w:rsidR="00C240C6" w:rsidRPr="00C240C6" w:rsidRDefault="00C240C6" w:rsidP="007362CD">
            <w:pPr>
              <w:jc w:val="both"/>
              <w:rPr>
                <w:rFonts w:ascii="Times New Roman" w:hAnsi="Times New Roman" w:cs="Times New Roman"/>
              </w:rPr>
            </w:pPr>
          </w:p>
        </w:tc>
        <w:tc>
          <w:tcPr>
            <w:tcW w:w="1672" w:type="dxa"/>
            <w:tcBorders>
              <w:bottom w:val="double" w:sz="4" w:space="0" w:color="auto"/>
            </w:tcBorders>
          </w:tcPr>
          <w:p w14:paraId="0DFF3E62" w14:textId="77777777" w:rsidR="00C240C6" w:rsidRPr="00C240C6" w:rsidRDefault="00C240C6" w:rsidP="007362CD">
            <w:pPr>
              <w:pStyle w:val="Default"/>
              <w:jc w:val="center"/>
              <w:rPr>
                <w:rFonts w:ascii="Times New Roman" w:hAnsi="Times New Roman" w:cs="Times New Roman"/>
                <w:sz w:val="22"/>
                <w:szCs w:val="22"/>
              </w:rPr>
            </w:pPr>
            <w:proofErr w:type="spellStart"/>
            <w:r w:rsidRPr="00C240C6">
              <w:rPr>
                <w:rFonts w:ascii="Times New Roman" w:hAnsi="Times New Roman" w:cs="Times New Roman"/>
                <w:sz w:val="22"/>
                <w:szCs w:val="22"/>
              </w:rPr>
              <w:t>Πειρ</w:t>
            </w:r>
            <w:proofErr w:type="spellEnd"/>
            <w:r w:rsidRPr="00C240C6">
              <w:rPr>
                <w:rFonts w:ascii="Times New Roman" w:hAnsi="Times New Roman" w:cs="Times New Roman"/>
                <w:sz w:val="22"/>
                <w:szCs w:val="22"/>
              </w:rPr>
              <w:t xml:space="preserve">αιάς, </w:t>
            </w:r>
            <w:proofErr w:type="spellStart"/>
            <w:r w:rsidRPr="00C240C6">
              <w:rPr>
                <w:rFonts w:ascii="Times New Roman" w:hAnsi="Times New Roman" w:cs="Times New Roman"/>
                <w:sz w:val="22"/>
                <w:szCs w:val="22"/>
              </w:rPr>
              <w:t>Νήσοι</w:t>
            </w:r>
            <w:proofErr w:type="spellEnd"/>
          </w:p>
        </w:tc>
        <w:tc>
          <w:tcPr>
            <w:tcW w:w="1417" w:type="dxa"/>
            <w:tcBorders>
              <w:bottom w:val="double" w:sz="4" w:space="0" w:color="auto"/>
            </w:tcBorders>
          </w:tcPr>
          <w:p w14:paraId="1408E57C"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35%</w:t>
            </w:r>
          </w:p>
        </w:tc>
        <w:tc>
          <w:tcPr>
            <w:tcW w:w="1418" w:type="dxa"/>
            <w:tcBorders>
              <w:bottom w:val="double" w:sz="4" w:space="0" w:color="auto"/>
            </w:tcBorders>
          </w:tcPr>
          <w:p w14:paraId="34587C25"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45%</w:t>
            </w:r>
          </w:p>
        </w:tc>
        <w:tc>
          <w:tcPr>
            <w:tcW w:w="1199" w:type="dxa"/>
            <w:tcBorders>
              <w:bottom w:val="double" w:sz="4" w:space="0" w:color="auto"/>
            </w:tcBorders>
          </w:tcPr>
          <w:p w14:paraId="419F76D3"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65%</w:t>
            </w:r>
          </w:p>
        </w:tc>
        <w:tc>
          <w:tcPr>
            <w:tcW w:w="1390" w:type="dxa"/>
            <w:tcBorders>
              <w:bottom w:val="double" w:sz="4" w:space="0" w:color="auto"/>
              <w:right w:val="double" w:sz="4" w:space="0" w:color="auto"/>
            </w:tcBorders>
          </w:tcPr>
          <w:p w14:paraId="1D9E5F43"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55%</w:t>
            </w:r>
          </w:p>
        </w:tc>
      </w:tr>
      <w:tr w:rsidR="00C240C6" w:rsidRPr="00ED1475" w14:paraId="5FFD4568" w14:textId="77777777" w:rsidTr="00C240C6">
        <w:tc>
          <w:tcPr>
            <w:tcW w:w="1447" w:type="dxa"/>
            <w:tcBorders>
              <w:top w:val="double" w:sz="4" w:space="0" w:color="auto"/>
              <w:left w:val="double" w:sz="4" w:space="0" w:color="auto"/>
            </w:tcBorders>
          </w:tcPr>
          <w:p w14:paraId="6131E102" w14:textId="77777777" w:rsidR="00C240C6" w:rsidRPr="00C240C6" w:rsidRDefault="00C240C6" w:rsidP="007362CD">
            <w:pPr>
              <w:pStyle w:val="Default"/>
              <w:jc w:val="center"/>
              <w:rPr>
                <w:rFonts w:ascii="Times New Roman" w:hAnsi="Times New Roman" w:cs="Times New Roman"/>
                <w:color w:val="auto"/>
                <w:sz w:val="22"/>
                <w:szCs w:val="22"/>
                <w:lang w:val="el-GR"/>
              </w:rPr>
            </w:pPr>
            <w:r w:rsidRPr="00C240C6">
              <w:rPr>
                <w:rFonts w:ascii="Times New Roman" w:hAnsi="Times New Roman" w:cs="Times New Roman"/>
                <w:color w:val="auto"/>
                <w:sz w:val="22"/>
                <w:szCs w:val="22"/>
                <w:lang w:val="el-GR"/>
              </w:rPr>
              <w:t xml:space="preserve">Επιλέξιμες Δαπάνες </w:t>
            </w:r>
          </w:p>
          <w:p w14:paraId="519203C9" w14:textId="77777777" w:rsidR="00C240C6" w:rsidRPr="00C240C6" w:rsidRDefault="00C240C6" w:rsidP="007362CD">
            <w:pPr>
              <w:pStyle w:val="Default"/>
              <w:jc w:val="center"/>
              <w:rPr>
                <w:rFonts w:ascii="Times New Roman" w:hAnsi="Times New Roman" w:cs="Times New Roman"/>
                <w:color w:val="auto"/>
                <w:sz w:val="22"/>
                <w:szCs w:val="22"/>
                <w:lang w:val="el-GR"/>
              </w:rPr>
            </w:pPr>
            <w:r w:rsidRPr="00C240C6">
              <w:rPr>
                <w:rFonts w:ascii="Times New Roman" w:hAnsi="Times New Roman" w:cs="Times New Roman"/>
                <w:color w:val="auto"/>
                <w:sz w:val="22"/>
                <w:szCs w:val="22"/>
                <w:lang w:val="el-GR"/>
              </w:rPr>
              <w:t xml:space="preserve">(Σύμφωνα με το Άρθρο 17) </w:t>
            </w:r>
          </w:p>
        </w:tc>
        <w:tc>
          <w:tcPr>
            <w:tcW w:w="1672" w:type="dxa"/>
            <w:tcBorders>
              <w:top w:val="double" w:sz="4" w:space="0" w:color="auto"/>
            </w:tcBorders>
          </w:tcPr>
          <w:p w14:paraId="69A80BBC" w14:textId="77777777" w:rsidR="00C240C6" w:rsidRPr="00C240C6" w:rsidRDefault="00C240C6" w:rsidP="007362CD">
            <w:pPr>
              <w:pStyle w:val="Default"/>
              <w:jc w:val="center"/>
              <w:rPr>
                <w:rFonts w:ascii="Times New Roman" w:hAnsi="Times New Roman" w:cs="Times New Roman"/>
                <w:sz w:val="22"/>
                <w:szCs w:val="22"/>
                <w:lang w:val="el-GR"/>
              </w:rPr>
            </w:pPr>
            <w:r w:rsidRPr="00C240C6">
              <w:rPr>
                <w:rFonts w:ascii="Times New Roman" w:hAnsi="Times New Roman" w:cs="Times New Roman"/>
                <w:sz w:val="22"/>
                <w:szCs w:val="22"/>
                <w:lang w:val="el-GR"/>
              </w:rPr>
              <w:t>Κεντρικού, του Βόρειου και του Νότιου Τομέα των Αθηνών</w:t>
            </w:r>
          </w:p>
        </w:tc>
        <w:tc>
          <w:tcPr>
            <w:tcW w:w="1417" w:type="dxa"/>
            <w:tcBorders>
              <w:top w:val="double" w:sz="4" w:space="0" w:color="auto"/>
            </w:tcBorders>
          </w:tcPr>
          <w:p w14:paraId="6ED723B4" w14:textId="77777777" w:rsidR="00C240C6" w:rsidRPr="00C240C6" w:rsidRDefault="00C240C6" w:rsidP="007362CD">
            <w:pPr>
              <w:jc w:val="center"/>
              <w:rPr>
                <w:rFonts w:ascii="Times New Roman" w:hAnsi="Times New Roman" w:cs="Times New Roman"/>
              </w:rPr>
            </w:pPr>
          </w:p>
          <w:p w14:paraId="4E81AC9F"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10%</w:t>
            </w:r>
          </w:p>
        </w:tc>
        <w:tc>
          <w:tcPr>
            <w:tcW w:w="1418" w:type="dxa"/>
            <w:tcBorders>
              <w:top w:val="double" w:sz="4" w:space="0" w:color="auto"/>
            </w:tcBorders>
          </w:tcPr>
          <w:p w14:paraId="5FC82FE5" w14:textId="77777777" w:rsidR="00C240C6" w:rsidRPr="00C240C6" w:rsidRDefault="00C240C6" w:rsidP="007362CD">
            <w:pPr>
              <w:jc w:val="center"/>
              <w:rPr>
                <w:rFonts w:ascii="Times New Roman" w:hAnsi="Times New Roman" w:cs="Times New Roman"/>
              </w:rPr>
            </w:pPr>
          </w:p>
          <w:p w14:paraId="1DE23FC2"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20%</w:t>
            </w:r>
          </w:p>
        </w:tc>
        <w:tc>
          <w:tcPr>
            <w:tcW w:w="1199" w:type="dxa"/>
            <w:tcBorders>
              <w:top w:val="double" w:sz="4" w:space="0" w:color="auto"/>
            </w:tcBorders>
          </w:tcPr>
          <w:p w14:paraId="0BB4A79B" w14:textId="77777777" w:rsidR="00C240C6" w:rsidRPr="00C240C6" w:rsidRDefault="00C240C6" w:rsidP="007362CD">
            <w:pPr>
              <w:jc w:val="center"/>
              <w:rPr>
                <w:rFonts w:ascii="Times New Roman" w:hAnsi="Times New Roman" w:cs="Times New Roman"/>
              </w:rPr>
            </w:pPr>
          </w:p>
          <w:p w14:paraId="2C8EACA4"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90%</w:t>
            </w:r>
          </w:p>
        </w:tc>
        <w:tc>
          <w:tcPr>
            <w:tcW w:w="1390" w:type="dxa"/>
            <w:tcBorders>
              <w:top w:val="double" w:sz="4" w:space="0" w:color="auto"/>
              <w:right w:val="double" w:sz="4" w:space="0" w:color="auto"/>
            </w:tcBorders>
          </w:tcPr>
          <w:p w14:paraId="7881E66B" w14:textId="77777777" w:rsidR="00C240C6" w:rsidRPr="00C240C6" w:rsidRDefault="00C240C6" w:rsidP="007362CD">
            <w:pPr>
              <w:jc w:val="center"/>
              <w:rPr>
                <w:rFonts w:ascii="Times New Roman" w:hAnsi="Times New Roman" w:cs="Times New Roman"/>
              </w:rPr>
            </w:pPr>
          </w:p>
          <w:p w14:paraId="2A7184B8"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80%</w:t>
            </w:r>
          </w:p>
        </w:tc>
      </w:tr>
      <w:tr w:rsidR="00C240C6" w:rsidRPr="00ED1475" w14:paraId="4C402F7E" w14:textId="77777777" w:rsidTr="00C240C6">
        <w:tc>
          <w:tcPr>
            <w:tcW w:w="1447" w:type="dxa"/>
            <w:tcBorders>
              <w:top w:val="double" w:sz="4" w:space="0" w:color="auto"/>
              <w:left w:val="double" w:sz="4" w:space="0" w:color="auto"/>
              <w:bottom w:val="double" w:sz="4" w:space="0" w:color="auto"/>
            </w:tcBorders>
          </w:tcPr>
          <w:p w14:paraId="125C9A53" w14:textId="77777777" w:rsidR="00C240C6" w:rsidRPr="00C240C6" w:rsidRDefault="00C240C6" w:rsidP="007362CD">
            <w:pPr>
              <w:pStyle w:val="Default"/>
              <w:jc w:val="center"/>
              <w:rPr>
                <w:rFonts w:ascii="Times New Roman" w:hAnsi="Times New Roman" w:cs="Times New Roman"/>
                <w:color w:val="auto"/>
                <w:sz w:val="22"/>
                <w:szCs w:val="22"/>
                <w:lang w:val="el-GR"/>
              </w:rPr>
            </w:pPr>
            <w:r w:rsidRPr="00C240C6">
              <w:rPr>
                <w:rFonts w:ascii="Times New Roman" w:hAnsi="Times New Roman" w:cs="Times New Roman"/>
                <w:color w:val="auto"/>
                <w:sz w:val="22"/>
                <w:szCs w:val="22"/>
                <w:lang w:val="el-GR"/>
              </w:rPr>
              <w:t>Επιλέξιμες Δαπάνες</w:t>
            </w:r>
          </w:p>
          <w:p w14:paraId="05991914" w14:textId="7BE37EBF" w:rsidR="00C240C6" w:rsidRPr="00C240C6" w:rsidRDefault="00C240C6" w:rsidP="007362CD">
            <w:pPr>
              <w:pStyle w:val="Default"/>
              <w:jc w:val="center"/>
              <w:rPr>
                <w:rFonts w:ascii="Times New Roman" w:hAnsi="Times New Roman" w:cs="Times New Roman"/>
                <w:color w:val="auto"/>
                <w:sz w:val="22"/>
                <w:szCs w:val="22"/>
                <w:lang w:val="el-GR"/>
              </w:rPr>
            </w:pPr>
            <w:r w:rsidRPr="00C240C6">
              <w:rPr>
                <w:rFonts w:ascii="Times New Roman" w:hAnsi="Times New Roman" w:cs="Times New Roman"/>
                <w:color w:val="auto"/>
                <w:sz w:val="22"/>
                <w:szCs w:val="22"/>
                <w:lang w:val="el-GR"/>
              </w:rPr>
              <w:t>(Σύμφωνα με το Άρθρο 18)</w:t>
            </w:r>
          </w:p>
        </w:tc>
        <w:tc>
          <w:tcPr>
            <w:tcW w:w="1672" w:type="dxa"/>
            <w:tcBorders>
              <w:top w:val="double" w:sz="4" w:space="0" w:color="auto"/>
              <w:bottom w:val="double" w:sz="4" w:space="0" w:color="auto"/>
            </w:tcBorders>
          </w:tcPr>
          <w:p w14:paraId="5D63CD36" w14:textId="77777777" w:rsidR="00C240C6" w:rsidRPr="00C240C6" w:rsidRDefault="00C240C6" w:rsidP="007362CD">
            <w:pPr>
              <w:pStyle w:val="Default"/>
              <w:jc w:val="center"/>
              <w:rPr>
                <w:rFonts w:ascii="Times New Roman" w:hAnsi="Times New Roman" w:cs="Times New Roman"/>
                <w:sz w:val="22"/>
                <w:szCs w:val="22"/>
                <w:lang w:val="el-GR"/>
              </w:rPr>
            </w:pPr>
          </w:p>
          <w:p w14:paraId="58C46C41" w14:textId="3CBA3DEE" w:rsidR="00C240C6" w:rsidRPr="00C240C6" w:rsidRDefault="00C240C6" w:rsidP="007362CD">
            <w:pPr>
              <w:pStyle w:val="Default"/>
              <w:jc w:val="center"/>
              <w:rPr>
                <w:rFonts w:ascii="Times New Roman" w:hAnsi="Times New Roman" w:cs="Times New Roman"/>
                <w:sz w:val="22"/>
                <w:szCs w:val="22"/>
              </w:rPr>
            </w:pPr>
            <w:proofErr w:type="spellStart"/>
            <w:r w:rsidRPr="00C240C6">
              <w:rPr>
                <w:rFonts w:ascii="Times New Roman" w:hAnsi="Times New Roman" w:cs="Times New Roman"/>
                <w:sz w:val="22"/>
                <w:szCs w:val="22"/>
              </w:rPr>
              <w:t>Όλες</w:t>
            </w:r>
            <w:proofErr w:type="spellEnd"/>
            <w:r w:rsidRPr="00C240C6">
              <w:rPr>
                <w:rFonts w:ascii="Times New Roman" w:hAnsi="Times New Roman" w:cs="Times New Roman"/>
                <w:sz w:val="22"/>
                <w:szCs w:val="22"/>
              </w:rPr>
              <w:t xml:space="preserve"> </w:t>
            </w:r>
            <w:proofErr w:type="spellStart"/>
            <w:r w:rsidRPr="00C240C6">
              <w:rPr>
                <w:rFonts w:ascii="Times New Roman" w:hAnsi="Times New Roman" w:cs="Times New Roman"/>
                <w:sz w:val="22"/>
                <w:szCs w:val="22"/>
              </w:rPr>
              <w:t>οι</w:t>
            </w:r>
            <w:proofErr w:type="spellEnd"/>
            <w:r w:rsidRPr="00C240C6">
              <w:rPr>
                <w:rFonts w:ascii="Times New Roman" w:hAnsi="Times New Roman" w:cs="Times New Roman"/>
                <w:sz w:val="22"/>
                <w:szCs w:val="22"/>
              </w:rPr>
              <w:t xml:space="preserve"> </w:t>
            </w:r>
            <w:proofErr w:type="spellStart"/>
            <w:r w:rsidRPr="00C240C6">
              <w:rPr>
                <w:rFonts w:ascii="Times New Roman" w:hAnsi="Times New Roman" w:cs="Times New Roman"/>
                <w:sz w:val="22"/>
                <w:szCs w:val="22"/>
              </w:rPr>
              <w:t>Περιφέρ</w:t>
            </w:r>
            <w:proofErr w:type="spellEnd"/>
            <w:r>
              <w:rPr>
                <w:rFonts w:ascii="Times New Roman" w:hAnsi="Times New Roman" w:cs="Times New Roman"/>
                <w:sz w:val="22"/>
                <w:szCs w:val="22"/>
                <w:lang w:val="el-GR"/>
              </w:rPr>
              <w:t>ε</w:t>
            </w:r>
            <w:r w:rsidRPr="00C240C6">
              <w:rPr>
                <w:rFonts w:ascii="Times New Roman" w:hAnsi="Times New Roman" w:cs="Times New Roman"/>
                <w:sz w:val="22"/>
                <w:szCs w:val="22"/>
              </w:rPr>
              <w:t>ι</w:t>
            </w:r>
            <w:r>
              <w:rPr>
                <w:rFonts w:ascii="Times New Roman" w:hAnsi="Times New Roman" w:cs="Times New Roman"/>
                <w:sz w:val="22"/>
                <w:szCs w:val="22"/>
                <w:lang w:val="el-GR"/>
              </w:rPr>
              <w:t>ε</w:t>
            </w:r>
            <w:r w:rsidRPr="00C240C6">
              <w:rPr>
                <w:rFonts w:ascii="Times New Roman" w:hAnsi="Times New Roman" w:cs="Times New Roman"/>
                <w:sz w:val="22"/>
                <w:szCs w:val="22"/>
              </w:rPr>
              <w:t>ς</w:t>
            </w:r>
          </w:p>
        </w:tc>
        <w:tc>
          <w:tcPr>
            <w:tcW w:w="1417" w:type="dxa"/>
            <w:tcBorders>
              <w:top w:val="double" w:sz="4" w:space="0" w:color="auto"/>
              <w:bottom w:val="double" w:sz="4" w:space="0" w:color="auto"/>
            </w:tcBorders>
          </w:tcPr>
          <w:p w14:paraId="0279D913" w14:textId="77777777" w:rsidR="00C240C6" w:rsidRPr="00C240C6" w:rsidRDefault="00C240C6" w:rsidP="007362CD">
            <w:pPr>
              <w:jc w:val="center"/>
              <w:rPr>
                <w:rFonts w:ascii="Times New Roman" w:hAnsi="Times New Roman" w:cs="Times New Roman"/>
              </w:rPr>
            </w:pPr>
          </w:p>
          <w:p w14:paraId="1789711E"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50%</w:t>
            </w:r>
          </w:p>
        </w:tc>
        <w:tc>
          <w:tcPr>
            <w:tcW w:w="1418" w:type="dxa"/>
            <w:tcBorders>
              <w:top w:val="double" w:sz="4" w:space="0" w:color="auto"/>
              <w:bottom w:val="double" w:sz="4" w:space="0" w:color="auto"/>
            </w:tcBorders>
          </w:tcPr>
          <w:p w14:paraId="0EC53CC2" w14:textId="77777777" w:rsidR="00C240C6" w:rsidRPr="00C240C6" w:rsidRDefault="00C240C6" w:rsidP="007362CD">
            <w:pPr>
              <w:jc w:val="center"/>
              <w:rPr>
                <w:rFonts w:ascii="Times New Roman" w:hAnsi="Times New Roman" w:cs="Times New Roman"/>
              </w:rPr>
            </w:pPr>
          </w:p>
          <w:p w14:paraId="3FB89314"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50%</w:t>
            </w:r>
          </w:p>
        </w:tc>
        <w:tc>
          <w:tcPr>
            <w:tcW w:w="1199" w:type="dxa"/>
            <w:tcBorders>
              <w:top w:val="double" w:sz="4" w:space="0" w:color="auto"/>
              <w:bottom w:val="double" w:sz="4" w:space="0" w:color="auto"/>
            </w:tcBorders>
          </w:tcPr>
          <w:p w14:paraId="26EF2D60" w14:textId="77777777" w:rsidR="00C240C6" w:rsidRPr="00C240C6" w:rsidRDefault="00C240C6" w:rsidP="007362CD">
            <w:pPr>
              <w:jc w:val="center"/>
              <w:rPr>
                <w:rFonts w:ascii="Times New Roman" w:hAnsi="Times New Roman" w:cs="Times New Roman"/>
              </w:rPr>
            </w:pPr>
          </w:p>
          <w:p w14:paraId="40AC7DD0"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50%</w:t>
            </w:r>
          </w:p>
        </w:tc>
        <w:tc>
          <w:tcPr>
            <w:tcW w:w="1390" w:type="dxa"/>
            <w:tcBorders>
              <w:top w:val="double" w:sz="4" w:space="0" w:color="auto"/>
              <w:bottom w:val="double" w:sz="4" w:space="0" w:color="auto"/>
              <w:right w:val="double" w:sz="4" w:space="0" w:color="auto"/>
            </w:tcBorders>
          </w:tcPr>
          <w:p w14:paraId="34636869" w14:textId="77777777" w:rsidR="00C240C6" w:rsidRPr="00C240C6" w:rsidRDefault="00C240C6" w:rsidP="007362CD">
            <w:pPr>
              <w:jc w:val="center"/>
              <w:rPr>
                <w:rFonts w:ascii="Times New Roman" w:hAnsi="Times New Roman" w:cs="Times New Roman"/>
              </w:rPr>
            </w:pPr>
          </w:p>
          <w:p w14:paraId="64A9416F" w14:textId="77777777" w:rsidR="00C240C6" w:rsidRPr="00C240C6" w:rsidRDefault="00C240C6" w:rsidP="007362CD">
            <w:pPr>
              <w:jc w:val="center"/>
              <w:rPr>
                <w:rFonts w:ascii="Times New Roman" w:hAnsi="Times New Roman" w:cs="Times New Roman"/>
              </w:rPr>
            </w:pPr>
            <w:r w:rsidRPr="00C240C6">
              <w:rPr>
                <w:rFonts w:ascii="Times New Roman" w:hAnsi="Times New Roman" w:cs="Times New Roman"/>
              </w:rPr>
              <w:t>50%</w:t>
            </w:r>
          </w:p>
        </w:tc>
      </w:tr>
    </w:tbl>
    <w:p w14:paraId="770E63FD" w14:textId="7B257B2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u w:val="single"/>
        </w:rPr>
      </w:pPr>
      <w:r w:rsidRPr="00CB218B">
        <w:rPr>
          <w:rFonts w:ascii="Times New Roman" w:hAnsi="Times New Roman" w:cs="Times New Roman"/>
          <w:sz w:val="24"/>
          <w:szCs w:val="24"/>
          <w:u w:val="single"/>
        </w:rPr>
        <w:lastRenderedPageBreak/>
        <w:t>Επιλέξιμες Δαπάνες</w:t>
      </w:r>
    </w:p>
    <w:p w14:paraId="7E1ED665"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Οι βασικές κατηγορίες δαπανών που καλύπτονται από τη Δράση 2 - Προηγμένος Ψηφιακός Μετασχηματισμός </w:t>
      </w:r>
      <w:proofErr w:type="spellStart"/>
      <w:r w:rsidRPr="00CB218B">
        <w:rPr>
          <w:rFonts w:ascii="Times New Roman" w:hAnsi="Times New Roman" w:cs="Times New Roman"/>
          <w:sz w:val="24"/>
          <w:szCs w:val="24"/>
        </w:rPr>
        <w:t>ΜμΕ</w:t>
      </w:r>
      <w:proofErr w:type="spellEnd"/>
      <w:r w:rsidRPr="00CB218B">
        <w:rPr>
          <w:rFonts w:ascii="Times New Roman" w:hAnsi="Times New Roman" w:cs="Times New Roman"/>
          <w:sz w:val="24"/>
          <w:szCs w:val="24"/>
        </w:rPr>
        <w:t xml:space="preserve"> είναι οι εξής:</w:t>
      </w:r>
    </w:p>
    <w:p w14:paraId="0013D9B4"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proofErr w:type="spellStart"/>
      <w:r w:rsidRPr="00CB218B">
        <w:rPr>
          <w:rFonts w:ascii="Times New Roman" w:hAnsi="Times New Roman" w:cs="Times New Roman"/>
          <w:b/>
          <w:bCs/>
          <w:sz w:val="24"/>
          <w:szCs w:val="24"/>
          <w:lang w:val="en-US"/>
        </w:rPr>
        <w:t>i</w:t>
      </w:r>
      <w:proofErr w:type="spellEnd"/>
      <w:r w:rsidRPr="00CB218B">
        <w:rPr>
          <w:rFonts w:ascii="Times New Roman" w:hAnsi="Times New Roman" w:cs="Times New Roman"/>
          <w:b/>
          <w:bCs/>
          <w:sz w:val="24"/>
          <w:szCs w:val="24"/>
        </w:rPr>
        <w:t>. Εξοπλισμός</w:t>
      </w:r>
      <w:r w:rsidRPr="00CB218B">
        <w:rPr>
          <w:rFonts w:ascii="Times New Roman" w:hAnsi="Times New Roman" w:cs="Times New Roman"/>
          <w:sz w:val="24"/>
          <w:szCs w:val="24"/>
        </w:rPr>
        <w:t xml:space="preserve"> με ενδεικτικές δαπάνες: Προμήθεια εξελιγμένων συστημάτων λειτουργίας εγκαταστάσεων ή προσωπικού, αυτοματοποίησης της παραγωγής με ρομποτικά συστήματα, μηχανές CNC, 3D </w:t>
      </w:r>
      <w:proofErr w:type="spellStart"/>
      <w:r w:rsidRPr="00CB218B">
        <w:rPr>
          <w:rFonts w:ascii="Times New Roman" w:hAnsi="Times New Roman" w:cs="Times New Roman"/>
          <w:sz w:val="24"/>
          <w:szCs w:val="24"/>
        </w:rPr>
        <w:t>printers</w:t>
      </w:r>
      <w:proofErr w:type="spellEnd"/>
      <w:r w:rsidRPr="00CB218B">
        <w:rPr>
          <w:rFonts w:ascii="Times New Roman" w:hAnsi="Times New Roman" w:cs="Times New Roman"/>
          <w:sz w:val="24"/>
          <w:szCs w:val="24"/>
        </w:rPr>
        <w:t xml:space="preserve">, 3D </w:t>
      </w:r>
      <w:proofErr w:type="spellStart"/>
      <w:r w:rsidRPr="00CB218B">
        <w:rPr>
          <w:rFonts w:ascii="Times New Roman" w:hAnsi="Times New Roman" w:cs="Times New Roman"/>
          <w:sz w:val="24"/>
          <w:szCs w:val="24"/>
        </w:rPr>
        <w:t>scanners</w:t>
      </w:r>
      <w:proofErr w:type="spellEnd"/>
      <w:r w:rsidRPr="00CB218B">
        <w:rPr>
          <w:rFonts w:ascii="Times New Roman" w:hAnsi="Times New Roman" w:cs="Times New Roman"/>
          <w:sz w:val="24"/>
          <w:szCs w:val="24"/>
        </w:rPr>
        <w:t xml:space="preserve">, αναβάθμιση εσωτερικών δικτύων μεταφοράς δεδομένων, προμήθεια εξελιγμένων τεχνολογικών συστημάτων και μηχανολογικού εξοπλισμού για την παραγωγή συστημάτων και εξοπλισμού Industry 4.0., συστημάτων και εξοπλισμού ασφάλειας (π.χ. επιτήρηση χώρων, </w:t>
      </w:r>
      <w:proofErr w:type="spellStart"/>
      <w:r w:rsidRPr="00CB218B">
        <w:rPr>
          <w:rFonts w:ascii="Times New Roman" w:hAnsi="Times New Roman" w:cs="Times New Roman"/>
          <w:sz w:val="24"/>
          <w:szCs w:val="24"/>
        </w:rPr>
        <w:t>κυβερνο</w:t>
      </w:r>
      <w:proofErr w:type="spellEnd"/>
      <w:r w:rsidRPr="00CB218B">
        <w:rPr>
          <w:rFonts w:ascii="Times New Roman" w:hAnsi="Times New Roman" w:cs="Times New Roman"/>
          <w:sz w:val="24"/>
          <w:szCs w:val="24"/>
        </w:rPr>
        <w:t>-προστασία, κ.α.), συστημάτων αυτοματοποίησης, ρομποτικών συστημάτων, ψηφιακά αισθητήρια και ελεγκτές, ψηφιακά ελεγχόμενος μηχανολογικός εξοπλισμός, προηγμένα ψηφιακά συστήματα παραγωγής, κλπ.</w:t>
      </w:r>
    </w:p>
    <w:p w14:paraId="14938F5B"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b/>
          <w:bCs/>
          <w:sz w:val="24"/>
          <w:szCs w:val="24"/>
          <w:lang w:val="en-US"/>
        </w:rPr>
        <w:t>ii</w:t>
      </w:r>
      <w:r w:rsidRPr="00CB218B">
        <w:rPr>
          <w:rFonts w:ascii="Times New Roman" w:hAnsi="Times New Roman" w:cs="Times New Roman"/>
          <w:b/>
          <w:bCs/>
          <w:sz w:val="24"/>
          <w:szCs w:val="24"/>
        </w:rPr>
        <w:t>. Εφαρμογές/ λογισμικά</w:t>
      </w:r>
      <w:r w:rsidRPr="00CB218B">
        <w:rPr>
          <w:rFonts w:ascii="Times New Roman" w:hAnsi="Times New Roman" w:cs="Times New Roman"/>
          <w:sz w:val="24"/>
          <w:szCs w:val="24"/>
        </w:rPr>
        <w:t xml:space="preserve">, με ενδεικτικές δαπάνες: Προμήθεια σύγχρονων εφαρμογών διαχείρισης επιχειρησιακών πόρων &amp; διαδικασιών (πχ ERP, WMS, ΕDI, ΒΜPS, </w:t>
      </w:r>
      <w:proofErr w:type="spellStart"/>
      <w:r w:rsidRPr="00CB218B">
        <w:rPr>
          <w:rFonts w:ascii="Times New Roman" w:hAnsi="Times New Roman" w:cs="Times New Roman"/>
          <w:sz w:val="24"/>
          <w:szCs w:val="24"/>
        </w:rPr>
        <w:t>κλπ</w:t>
      </w:r>
      <w:proofErr w:type="spellEnd"/>
      <w:r w:rsidRPr="00CB218B">
        <w:rPr>
          <w:rFonts w:ascii="Times New Roman" w:hAnsi="Times New Roman" w:cs="Times New Roman"/>
          <w:sz w:val="24"/>
          <w:szCs w:val="24"/>
        </w:rPr>
        <w:t xml:space="preserve">), επεξεργασίας εικόνας, 3D μοντέλων και CAD, </w:t>
      </w:r>
      <w:proofErr w:type="spellStart"/>
      <w:r w:rsidRPr="00CB218B">
        <w:rPr>
          <w:rFonts w:ascii="Times New Roman" w:hAnsi="Times New Roman" w:cs="Times New Roman"/>
          <w:sz w:val="24"/>
          <w:szCs w:val="24"/>
        </w:rPr>
        <w:t>IoT</w:t>
      </w:r>
      <w:proofErr w:type="spellEnd"/>
      <w:r w:rsidRPr="00CB218B">
        <w:rPr>
          <w:rFonts w:ascii="Times New Roman" w:hAnsi="Times New Roman" w:cs="Times New Roman"/>
          <w:sz w:val="24"/>
          <w:szCs w:val="24"/>
        </w:rPr>
        <w:t xml:space="preserve">, </w:t>
      </w:r>
      <w:proofErr w:type="spellStart"/>
      <w:r w:rsidRPr="00CB218B">
        <w:rPr>
          <w:rFonts w:ascii="Times New Roman" w:hAnsi="Times New Roman" w:cs="Times New Roman"/>
          <w:sz w:val="24"/>
          <w:szCs w:val="24"/>
        </w:rPr>
        <w:t>Big</w:t>
      </w:r>
      <w:proofErr w:type="spellEnd"/>
      <w:r w:rsidRPr="00CB218B">
        <w:rPr>
          <w:rFonts w:ascii="Times New Roman" w:hAnsi="Times New Roman" w:cs="Times New Roman"/>
          <w:sz w:val="24"/>
          <w:szCs w:val="24"/>
        </w:rPr>
        <w:t xml:space="preserve"> ανάλυσης δεδομένων μεγάλου όγκου, ψηφιακής ασφάλειας, διαχείρισης πελατών και εφοδιαστικής αλυσίδας, εργαλείων τεχνητής νοημοσύνης, βελτιστοποίησης της παραγωγής, αναβάθμισης των παρεχόμενων υπηρεσιών, ψηφιακού ελέγχου εγκαταστάσεων, κ.λπ.</w:t>
      </w:r>
    </w:p>
    <w:p w14:paraId="7BEF5C0A"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b/>
          <w:bCs/>
          <w:sz w:val="24"/>
          <w:szCs w:val="24"/>
          <w:lang w:val="en-US"/>
        </w:rPr>
        <w:t>iii</w:t>
      </w:r>
      <w:r w:rsidRPr="00CB218B">
        <w:rPr>
          <w:rFonts w:ascii="Times New Roman" w:hAnsi="Times New Roman" w:cs="Times New Roman"/>
          <w:b/>
          <w:bCs/>
          <w:sz w:val="24"/>
          <w:szCs w:val="24"/>
        </w:rPr>
        <w:t>. Υπηρεσίες που συνδέονται με τη ψηφιακή αναβάθμιση</w:t>
      </w:r>
      <w:r w:rsidRPr="00CB218B">
        <w:rPr>
          <w:rFonts w:ascii="Times New Roman" w:hAnsi="Times New Roman" w:cs="Times New Roman"/>
          <w:sz w:val="24"/>
          <w:szCs w:val="24"/>
        </w:rPr>
        <w:t xml:space="preserve"> με ενδεικτικές δαπάνες: Τεχνική υποστήριξη για την παραμετροποίηση και ενσωμάτωση των νέων συστημάτων στη λειτουργία των </w:t>
      </w:r>
      <w:proofErr w:type="spellStart"/>
      <w:r w:rsidRPr="00CB218B">
        <w:rPr>
          <w:rFonts w:ascii="Times New Roman" w:hAnsi="Times New Roman" w:cs="Times New Roman"/>
          <w:sz w:val="24"/>
          <w:szCs w:val="24"/>
        </w:rPr>
        <w:t>ΜμΕ</w:t>
      </w:r>
      <w:proofErr w:type="spellEnd"/>
      <w:r w:rsidRPr="00CB218B">
        <w:rPr>
          <w:rFonts w:ascii="Times New Roman" w:hAnsi="Times New Roman" w:cs="Times New Roman"/>
          <w:sz w:val="24"/>
          <w:szCs w:val="24"/>
        </w:rPr>
        <w:t xml:space="preserve">, πιστοποίηση συστημάτων, </w:t>
      </w:r>
      <w:proofErr w:type="spellStart"/>
      <w:r w:rsidRPr="00CB218B">
        <w:rPr>
          <w:rFonts w:ascii="Times New Roman" w:hAnsi="Times New Roman" w:cs="Times New Roman"/>
          <w:sz w:val="24"/>
          <w:szCs w:val="24"/>
        </w:rPr>
        <w:t>κ.λ.π</w:t>
      </w:r>
      <w:proofErr w:type="spellEnd"/>
      <w:r w:rsidRPr="00CB218B">
        <w:rPr>
          <w:rFonts w:ascii="Times New Roman" w:hAnsi="Times New Roman" w:cs="Times New Roman"/>
          <w:sz w:val="24"/>
          <w:szCs w:val="24"/>
        </w:rPr>
        <w:t>.</w:t>
      </w:r>
    </w:p>
    <w:p w14:paraId="2DC5C64E" w14:textId="77777777" w:rsidR="00D167A0" w:rsidRDefault="00D167A0" w:rsidP="00D167A0">
      <w:pPr>
        <w:pStyle w:val="af0"/>
        <w:tabs>
          <w:tab w:val="left" w:pos="8222"/>
        </w:tabs>
        <w:spacing w:line="288" w:lineRule="auto"/>
        <w:ind w:left="284" w:right="323"/>
        <w:jc w:val="both"/>
        <w:rPr>
          <w:rFonts w:ascii="Times New Roman" w:hAnsi="Times New Roman" w:cs="Times New Roman"/>
          <w:b/>
          <w:bCs/>
        </w:rPr>
      </w:pPr>
    </w:p>
    <w:p w14:paraId="40C970FF" w14:textId="6589957F" w:rsidR="00C240C6" w:rsidRPr="00CB218B" w:rsidRDefault="003A7925" w:rsidP="00C240C6">
      <w:pPr>
        <w:pStyle w:val="af0"/>
        <w:tabs>
          <w:tab w:val="left" w:pos="8222"/>
        </w:tabs>
        <w:spacing w:line="288" w:lineRule="auto"/>
        <w:ind w:left="284" w:right="323"/>
        <w:jc w:val="center"/>
        <w:rPr>
          <w:rFonts w:ascii="Times New Roman" w:hAnsi="Times New Roman" w:cs="Times New Roman"/>
          <w:b/>
          <w:bCs/>
          <w:sz w:val="24"/>
          <w:szCs w:val="24"/>
        </w:rPr>
      </w:pPr>
      <w:r w:rsidRPr="00CB218B">
        <w:rPr>
          <w:rFonts w:ascii="Times New Roman" w:hAnsi="Times New Roman" w:cs="Times New Roman"/>
          <w:b/>
          <w:bCs/>
          <w:sz w:val="24"/>
          <w:szCs w:val="24"/>
        </w:rPr>
        <w:t>ΔΡΑΣΗ 3 - «ΨΗΦΙΑΚΟΣ ΜΕΤΑΣΧΗΜΑΤΙΣΜΟΣ ΑΙΧΜΗΣ»</w:t>
      </w:r>
    </w:p>
    <w:p w14:paraId="28AAEC28" w14:textId="633448E2" w:rsidR="003A7925" w:rsidRPr="00CB218B" w:rsidRDefault="003A7925"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Βασικός στόχος της Δράσης 3 - Ψηφιακός Μετασχηματισμός Αιχμής </w:t>
      </w:r>
      <w:proofErr w:type="spellStart"/>
      <w:r w:rsidRPr="00CB218B">
        <w:rPr>
          <w:rFonts w:ascii="Times New Roman" w:hAnsi="Times New Roman" w:cs="Times New Roman"/>
          <w:sz w:val="24"/>
          <w:szCs w:val="24"/>
        </w:rPr>
        <w:t>ΜμΕ</w:t>
      </w:r>
      <w:proofErr w:type="spellEnd"/>
      <w:r w:rsidRPr="00CB218B">
        <w:rPr>
          <w:rFonts w:ascii="Times New Roman" w:hAnsi="Times New Roman" w:cs="Times New Roman"/>
          <w:sz w:val="24"/>
          <w:szCs w:val="24"/>
        </w:rPr>
        <w:t xml:space="preserve"> είναι </w:t>
      </w:r>
      <w:r w:rsidRPr="00CB218B">
        <w:rPr>
          <w:rFonts w:ascii="Times New Roman" w:hAnsi="Times New Roman" w:cs="Times New Roman"/>
          <w:b/>
          <w:bCs/>
          <w:sz w:val="24"/>
          <w:szCs w:val="24"/>
        </w:rPr>
        <w:t xml:space="preserve">η αναβάθμιση των </w:t>
      </w:r>
      <w:proofErr w:type="spellStart"/>
      <w:r w:rsidRPr="00CB218B">
        <w:rPr>
          <w:rFonts w:ascii="Times New Roman" w:hAnsi="Times New Roman" w:cs="Times New Roman"/>
          <w:b/>
          <w:bCs/>
          <w:sz w:val="24"/>
          <w:szCs w:val="24"/>
        </w:rPr>
        <w:t>ΜμΕ</w:t>
      </w:r>
      <w:proofErr w:type="spellEnd"/>
      <w:r w:rsidRPr="00CB218B">
        <w:rPr>
          <w:rFonts w:ascii="Times New Roman" w:hAnsi="Times New Roman" w:cs="Times New Roman"/>
          <w:b/>
          <w:bCs/>
          <w:sz w:val="24"/>
          <w:szCs w:val="24"/>
        </w:rPr>
        <w:t xml:space="preserve"> με τεχνολογίες αιχμής ή με εξελιγμένα ψηφιακά συστήματα της 4η βιομηχανικής επανάσταση</w:t>
      </w:r>
      <w:r w:rsidRPr="00CB218B">
        <w:rPr>
          <w:rFonts w:ascii="Times New Roman" w:hAnsi="Times New Roman" w:cs="Times New Roman"/>
          <w:sz w:val="24"/>
          <w:szCs w:val="24"/>
        </w:rPr>
        <w:t xml:space="preserve">ς και συμπληρωματικά η κάλυψη επί μέρους αναγκών σε τεχνολογίες πληροφορικής και επικοινωνιών (ΤΠΕ) που διευρύνουν την παραγωγικότητα και την ανταγωνιστικότητά τους. Η Δράση ενθαρρύνει, κατά προτεραιότητα, την υλοποίηση </w:t>
      </w:r>
      <w:proofErr w:type="spellStart"/>
      <w:r w:rsidRPr="00CB218B">
        <w:rPr>
          <w:rFonts w:ascii="Times New Roman" w:hAnsi="Times New Roman" w:cs="Times New Roman"/>
          <w:sz w:val="24"/>
          <w:szCs w:val="24"/>
        </w:rPr>
        <w:t>στοχευμένων</w:t>
      </w:r>
      <w:proofErr w:type="spellEnd"/>
      <w:r w:rsidRPr="00CB218B">
        <w:rPr>
          <w:rFonts w:ascii="Times New Roman" w:hAnsi="Times New Roman" w:cs="Times New Roman"/>
          <w:sz w:val="24"/>
          <w:szCs w:val="24"/>
        </w:rPr>
        <w:t xml:space="preserve"> επενδυτικών σχεδίων ψηφιακού μετασχηματισμού που συνεισφέρουν σε μία εξωστρεφή, καινοτόμα, ανταγωνιστική και βιώσιμη κρίσιμη παραγωγή προϊόντων και υπηρεσιών υψηλότερης προστιθέμενης αξίας.</w:t>
      </w:r>
    </w:p>
    <w:p w14:paraId="403279FF"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u w:val="single"/>
        </w:rPr>
      </w:pPr>
      <w:r w:rsidRPr="00CB218B">
        <w:rPr>
          <w:rFonts w:ascii="Times New Roman" w:hAnsi="Times New Roman" w:cs="Times New Roman"/>
          <w:sz w:val="24"/>
          <w:szCs w:val="24"/>
          <w:u w:val="single"/>
        </w:rPr>
        <w:t>Επιλέξιμες Επιχειρήσεις - Προϋποθέσεις Συμμετοχής</w:t>
      </w:r>
    </w:p>
    <w:p w14:paraId="5989B755" w14:textId="77777777" w:rsidR="00C240C6" w:rsidRPr="00CB218B" w:rsidRDefault="003A7925"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Στη Δράση μπορούν να υποβάλλουν πρόταση υφιστάμενες μεσαίες, μικρές και πολύ μικρές επιχειρήσεις, όπως αυτές ορίζονται στη Σύσταση της Επιτροπής 2003/361/ΕΚ</w:t>
      </w:r>
      <w:r w:rsidR="00C240C6" w:rsidRPr="00CB218B">
        <w:rPr>
          <w:rFonts w:ascii="Times New Roman" w:hAnsi="Times New Roman" w:cs="Times New Roman"/>
          <w:sz w:val="24"/>
          <w:szCs w:val="24"/>
        </w:rPr>
        <w:t>, υπό τις παρακάτω προϋποθέσεις:</w:t>
      </w:r>
    </w:p>
    <w:p w14:paraId="134B2880" w14:textId="3ABA3A4B"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lastRenderedPageBreak/>
        <w:t xml:space="preserve">1. Να υποβάλλουν μία και μοναδική αίτηση χρηματοδότησης ανά ΑΦΜ, να λειτουργούν νόμιμα διαθέτοντας την κατάλληλη άδεια λειτουργίας και να υλοποιήσουν την επένδυση αποκλειστικά σε μία μόνο Περιφέρεια. </w:t>
      </w:r>
    </w:p>
    <w:p w14:paraId="455D6A33" w14:textId="663857AB"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2. Να τηρούν Απλογραφικά ή Διπλογραφικά βιβλία και να έχουν τουλάχιστον μία (1) πλήρη κλεισμένη διαχειριστική χρήση, και να λειτουργούν αποκλειστικά ως επιχειρήσεις εταιρικού/εμπορικού χαρακτήρα</w:t>
      </w:r>
    </w:p>
    <w:p w14:paraId="2BC00D1B" w14:textId="7686DA43"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3. Να διαθέτουν ένα τουλάχιστον επιλέξιμο ΚΑΔ και να δραστηριοποιούνται στον επιλέξιμο ΚΑΔ για τουλάχιστον ένα έτος. Το επενδυτικό σχέδιο θα πρέπει να αφορά αποκλειστικά τους επιλέξιμους ΚΑΔ της παρούσας Δράσης.</w:t>
      </w:r>
    </w:p>
    <w:p w14:paraId="01C391D7" w14:textId="21D55D6C"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4. Να απασχολούν τουλάχιστον πέντε (9) ΕΜΕ κατά το έτος που προηγείται της υποβολής αίτησης χρηματοδότησης.</w:t>
      </w:r>
    </w:p>
    <w:p w14:paraId="46BE8E17" w14:textId="394CC0AD"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5. Να μην έχει γίνει έναρξη εργασιών για το επενδυτικό σχέδιο πριν την υποβολή της αίτησης ενίσχυσης. </w:t>
      </w:r>
    </w:p>
    <w:p w14:paraId="175DEFE9" w14:textId="1E7358D5"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6. Να έχουν την ιδιότητα της </w:t>
      </w:r>
      <w:proofErr w:type="spellStart"/>
      <w:r w:rsidRPr="00CB218B">
        <w:rPr>
          <w:rFonts w:ascii="Times New Roman" w:hAnsi="Times New Roman" w:cs="Times New Roman"/>
          <w:sz w:val="24"/>
          <w:szCs w:val="24"/>
        </w:rPr>
        <w:t>ΜμΕ</w:t>
      </w:r>
      <w:proofErr w:type="spellEnd"/>
      <w:r w:rsidRPr="00CB218B">
        <w:rPr>
          <w:rFonts w:ascii="Times New Roman" w:hAnsi="Times New Roman" w:cs="Times New Roman"/>
          <w:sz w:val="24"/>
          <w:szCs w:val="24"/>
        </w:rPr>
        <w:t xml:space="preserve"> σύμφωνα με τον Ορισμό </w:t>
      </w:r>
      <w:proofErr w:type="spellStart"/>
      <w:r w:rsidRPr="00CB218B">
        <w:rPr>
          <w:rFonts w:ascii="Times New Roman" w:hAnsi="Times New Roman" w:cs="Times New Roman"/>
          <w:sz w:val="24"/>
          <w:szCs w:val="24"/>
        </w:rPr>
        <w:t>ΜμΕ</w:t>
      </w:r>
      <w:proofErr w:type="spellEnd"/>
      <w:r w:rsidRPr="00CB218B">
        <w:rPr>
          <w:rFonts w:ascii="Times New Roman" w:hAnsi="Times New Roman" w:cs="Times New Roman"/>
          <w:sz w:val="24"/>
          <w:szCs w:val="24"/>
        </w:rPr>
        <w:t xml:space="preserve"> της σύστασης της ΕΕ 2003/361/ΕΚ, λαμβανομένων υπόψη των όρων για τη διατήρηση της ιδιότητας αυτής.</w:t>
      </w:r>
    </w:p>
    <w:p w14:paraId="09C9892D" w14:textId="71C5B1B5" w:rsidR="00C240C6"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7. Να πληρούν τις προϋποθέσεις εφαρμογής του Κανονισμού ΕΕ στον οποίο στηρίζεται το χρηματοδοτικό καθεστώς ενίσχυσης που θα επιλέξουν υποχρεωτικά κατά την υποβολή της αίτησης χρηματοδότησης. Υπάρχει η δυνατότητα επιλογής είτε του Καν. ΕΕ 651/2014 (ΓΚΑΚ) ή του Καν. ΕΕ 1407/2013 (De </w:t>
      </w:r>
      <w:proofErr w:type="spellStart"/>
      <w:r w:rsidRPr="00CB218B">
        <w:rPr>
          <w:rFonts w:ascii="Times New Roman" w:hAnsi="Times New Roman" w:cs="Times New Roman"/>
          <w:sz w:val="24"/>
          <w:szCs w:val="24"/>
        </w:rPr>
        <w:t>Minimis</w:t>
      </w:r>
      <w:proofErr w:type="spellEnd"/>
      <w:r w:rsidRPr="00CB218B">
        <w:rPr>
          <w:rFonts w:ascii="Times New Roman" w:hAnsi="Times New Roman" w:cs="Times New Roman"/>
          <w:sz w:val="24"/>
          <w:szCs w:val="24"/>
        </w:rPr>
        <w:t>).</w:t>
      </w:r>
    </w:p>
    <w:p w14:paraId="6B7EFFB4" w14:textId="4135E7ED" w:rsidR="003A7925" w:rsidRPr="00CB218B" w:rsidRDefault="00C240C6" w:rsidP="00C240C6">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8. Να συγκεντρώνουν κατ’ ελάχιστο το βαθμό 70 στο ερωτηματολόγιο ψηφιακής ωριμότητας, και κατ’ ελάχιστο το συνολικό βαθμό 50 στα βαθμολογούμενα κριτήρια που θα οριστούν στην προκήρυξη της Δράσης.</w:t>
      </w:r>
    </w:p>
    <w:p w14:paraId="022494F4" w14:textId="144D5672"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u w:val="single"/>
        </w:rPr>
      </w:pPr>
      <w:r w:rsidRPr="00CB218B">
        <w:rPr>
          <w:rFonts w:ascii="Times New Roman" w:hAnsi="Times New Roman" w:cs="Times New Roman"/>
          <w:sz w:val="24"/>
          <w:szCs w:val="24"/>
          <w:u w:val="single"/>
        </w:rPr>
        <w:t>Προϋπολογισμός και Διάρκεια Έργων</w:t>
      </w:r>
    </w:p>
    <w:p w14:paraId="50731228"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Ο ελάχιστος και μέγιστος συνολικός ενισχυόμενος προϋπολογισμός (Π/Υ) της αίτησης χρηματοδότησης ορίζεται </w:t>
      </w:r>
      <w:r w:rsidRPr="00CB218B">
        <w:rPr>
          <w:rFonts w:ascii="Times New Roman" w:hAnsi="Times New Roman" w:cs="Times New Roman"/>
          <w:b/>
          <w:bCs/>
          <w:sz w:val="24"/>
          <w:szCs w:val="24"/>
        </w:rPr>
        <w:t>από €200.001 έως και €1.200.000</w:t>
      </w:r>
      <w:r w:rsidRPr="00CB218B">
        <w:rPr>
          <w:rFonts w:ascii="Times New Roman" w:hAnsi="Times New Roman" w:cs="Times New Roman"/>
          <w:sz w:val="24"/>
          <w:szCs w:val="24"/>
        </w:rPr>
        <w:t>.</w:t>
      </w:r>
    </w:p>
    <w:p w14:paraId="698C673E"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Ο επιχορηγούμενος προϋπολογισμός του επενδυτικού σχεδίου δεν δύναται να υπερβαίνει το τριπλάσιο του υψηλότερου κύκλου εργασιών που επετεύχθη σε μία από τις τρεις (ή λιγότερες εφόσον η επιχείρηση δεν διαθέτει τρεις) διαχειριστικές περιόδους που προηγούνται του έτους της υποβολής της αίτησης χρηματοδότησης.</w:t>
      </w:r>
    </w:p>
    <w:p w14:paraId="4A6196C8"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Στην περίπτωση που η αίτηση χρηματοδότησης θα έχει προϋπολογισμό μεγαλύτερο των ανώτατων ορίων, το υπερβαίνον μέρος του προϋπολογισμού θα καλύπτεται στο σύνολό του από ιδιωτική συμμετοχή του φορέα της επένδυσης.</w:t>
      </w:r>
    </w:p>
    <w:p w14:paraId="1CE247A8"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lastRenderedPageBreak/>
        <w:t>Η Δράση συγχρηματοδοτείται από την Ευρωπαϊκή Ένωση, ειδικότερα από το Ευρωπαϊκό Ταμείο Περιφερειακής Ανάπτυξης (ΕΤΠΑ) και από το Ελληνικό Δημόσιο.</w:t>
      </w:r>
    </w:p>
    <w:p w14:paraId="2FE3B912" w14:textId="5476CFC1"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Η μέγιστη διάρκεια ολοκλήρωσης φυσικού και οικονομικού αντικειμένου θα ορισθεί στην Αναλυτική Πρόσκληση της Δράσης, ωστόσο δεν αναμένεται να υπερβαίνει τους δέκα οκτώ (18) μήνες από την ημερομηνία έκδοσης της Απόφασης Ένταξης.</w:t>
      </w:r>
    </w:p>
    <w:p w14:paraId="6D0CFE32" w14:textId="2680C844" w:rsidR="002E4BB0" w:rsidRPr="00CB218B" w:rsidRDefault="002E4BB0" w:rsidP="00D167A0">
      <w:pPr>
        <w:pStyle w:val="af0"/>
        <w:tabs>
          <w:tab w:val="left" w:pos="8222"/>
        </w:tabs>
        <w:spacing w:line="288" w:lineRule="auto"/>
        <w:ind w:left="284" w:right="323"/>
        <w:jc w:val="both"/>
        <w:rPr>
          <w:rFonts w:ascii="Times New Roman" w:hAnsi="Times New Roman" w:cs="Times New Roman"/>
          <w:sz w:val="24"/>
          <w:szCs w:val="24"/>
        </w:rPr>
      </w:pPr>
    </w:p>
    <w:p w14:paraId="795E743E" w14:textId="77777777" w:rsidR="002E4BB0" w:rsidRPr="00CB218B" w:rsidRDefault="002E4BB0" w:rsidP="002E4BB0">
      <w:pPr>
        <w:spacing w:after="120" w:line="288" w:lineRule="auto"/>
        <w:ind w:left="284" w:right="323"/>
        <w:jc w:val="both"/>
        <w:rPr>
          <w:rFonts w:ascii="Times New Roman" w:hAnsi="Times New Roman" w:cs="Times New Roman"/>
          <w:b/>
          <w:bCs/>
          <w:sz w:val="24"/>
          <w:szCs w:val="24"/>
        </w:rPr>
      </w:pPr>
      <w:r w:rsidRPr="00CB218B">
        <w:rPr>
          <w:rFonts w:ascii="Times New Roman" w:hAnsi="Times New Roman" w:cs="Times New Roman"/>
          <w:b/>
          <w:bCs/>
          <w:sz w:val="24"/>
          <w:szCs w:val="24"/>
        </w:rPr>
        <w:t>Ένταση ενίσχυσης</w:t>
      </w:r>
    </w:p>
    <w:p w14:paraId="379E6057" w14:textId="77777777" w:rsidR="002E4BB0" w:rsidRPr="00CB218B" w:rsidRDefault="002E4BB0" w:rsidP="002E4BB0">
      <w:pPr>
        <w:spacing w:after="120"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Κατά την υποβολή της αίτησης η επιχείρηση πρέπει να επιλέξει το χρηματοδοτικό καθεστώς ενίσχυσης. Υπάρχει η δυνατότητα επιλογής είτε του Καν. ΕΕ 651/2014 (ΓΚΑΚ), Άρθρο 13 «Πεδίο εφαρμογής των περιφερειακών ενισχύσεων», Άρθρο 14 «Περιφερειακές επενδυτικές ενισχύσεις» και Άρθρο 18 «Ενισχύσεις για συμβουλευτικές υπηρεσίες σε </w:t>
      </w:r>
      <w:proofErr w:type="spellStart"/>
      <w:r w:rsidRPr="00CB218B">
        <w:rPr>
          <w:rFonts w:ascii="Times New Roman" w:hAnsi="Times New Roman" w:cs="Times New Roman"/>
          <w:sz w:val="24"/>
          <w:szCs w:val="24"/>
        </w:rPr>
        <w:t>ΜμΕ</w:t>
      </w:r>
      <w:proofErr w:type="spellEnd"/>
      <w:r w:rsidRPr="00CB218B">
        <w:rPr>
          <w:rFonts w:ascii="Times New Roman" w:hAnsi="Times New Roman" w:cs="Times New Roman"/>
          <w:sz w:val="24"/>
          <w:szCs w:val="24"/>
        </w:rPr>
        <w:t xml:space="preserve">» ή του Καν. ΕΕ 1407/2013 (De </w:t>
      </w:r>
      <w:proofErr w:type="spellStart"/>
      <w:r w:rsidRPr="00CB218B">
        <w:rPr>
          <w:rFonts w:ascii="Times New Roman" w:hAnsi="Times New Roman" w:cs="Times New Roman"/>
          <w:sz w:val="24"/>
          <w:szCs w:val="24"/>
        </w:rPr>
        <w:t>Minimis</w:t>
      </w:r>
      <w:proofErr w:type="spellEnd"/>
      <w:r w:rsidRPr="00CB218B">
        <w:rPr>
          <w:rFonts w:ascii="Times New Roman" w:hAnsi="Times New Roman" w:cs="Times New Roman"/>
          <w:sz w:val="24"/>
          <w:szCs w:val="24"/>
        </w:rPr>
        <w:t xml:space="preserve">). Η επιλογή καθεστώτος είναι υποχρεωτική για την υποβολή της Αίτησης Χρηματοδότησης. Επισημαίνεται ότι για τις Αιτήσεις Χρηματοδότησης με βάση του ΕΚ 1407/2013 De </w:t>
      </w:r>
      <w:proofErr w:type="spellStart"/>
      <w:r w:rsidRPr="00CB218B">
        <w:rPr>
          <w:rFonts w:ascii="Times New Roman" w:hAnsi="Times New Roman" w:cs="Times New Roman"/>
          <w:sz w:val="24"/>
          <w:szCs w:val="24"/>
        </w:rPr>
        <w:t>Minimis</w:t>
      </w:r>
      <w:proofErr w:type="spellEnd"/>
      <w:r w:rsidRPr="00CB218B">
        <w:rPr>
          <w:rFonts w:ascii="Times New Roman" w:hAnsi="Times New Roman" w:cs="Times New Roman"/>
          <w:sz w:val="24"/>
          <w:szCs w:val="24"/>
        </w:rPr>
        <w:t xml:space="preserve"> το μέγιστο ποσό ενίσχυσης είναι 200.000€.</w:t>
      </w:r>
    </w:p>
    <w:p w14:paraId="02F243C8" w14:textId="77777777" w:rsidR="002E4BB0" w:rsidRPr="00CB218B" w:rsidRDefault="002E4BB0" w:rsidP="002E4BB0">
      <w:pPr>
        <w:spacing w:after="120"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Τα ποσοστά ενίσχυσης των επενδυτικών σχεδίων και η ιδιωτική συμμετοχή του δικαιούχου της ενίσχυσης για το σύνολο των ενισχυόμενων δαπανών των επενδυτικών σχεδίων έχουν, κατά περίπτωση, περιγράφονται στον παρακάτω πίνακα:</w:t>
      </w:r>
    </w:p>
    <w:p w14:paraId="231EF832" w14:textId="77777777" w:rsidR="002E4BB0" w:rsidRPr="00CB218B" w:rsidRDefault="002E4BB0" w:rsidP="002E4BB0">
      <w:pPr>
        <w:jc w:val="both"/>
        <w:rPr>
          <w:rFonts w:cstheme="minorHAnsi"/>
          <w:sz w:val="24"/>
          <w:szCs w:val="24"/>
        </w:rPr>
      </w:pPr>
    </w:p>
    <w:tbl>
      <w:tblPr>
        <w:tblStyle w:val="ab"/>
        <w:tblW w:w="0" w:type="auto"/>
        <w:tblLook w:val="04A0" w:firstRow="1" w:lastRow="0" w:firstColumn="1" w:lastColumn="0" w:noHBand="0" w:noVBand="1"/>
      </w:tblPr>
      <w:tblGrid>
        <w:gridCol w:w="1623"/>
        <w:gridCol w:w="1745"/>
        <w:gridCol w:w="1375"/>
        <w:gridCol w:w="1287"/>
        <w:gridCol w:w="1254"/>
        <w:gridCol w:w="1173"/>
      </w:tblGrid>
      <w:tr w:rsidR="002E4BB0" w:rsidRPr="00ED1475" w14:paraId="6AB3CF88" w14:textId="77777777" w:rsidTr="00CB218B">
        <w:trPr>
          <w:tblHeader/>
        </w:trPr>
        <w:tc>
          <w:tcPr>
            <w:tcW w:w="8217" w:type="dxa"/>
            <w:gridSpan w:val="6"/>
          </w:tcPr>
          <w:p w14:paraId="762453E8" w14:textId="77777777" w:rsidR="002E4BB0" w:rsidRPr="00CB218B" w:rsidRDefault="002E4BB0" w:rsidP="007362CD">
            <w:pPr>
              <w:jc w:val="center"/>
              <w:rPr>
                <w:rFonts w:cstheme="minorHAnsi"/>
                <w:b/>
                <w:bCs/>
              </w:rPr>
            </w:pPr>
            <w:r w:rsidRPr="00CB218B">
              <w:rPr>
                <w:rFonts w:cstheme="minorHAnsi"/>
                <w:b/>
                <w:bCs/>
              </w:rPr>
              <w:t>Ένταση Ενίσχυσης με βάση το Άρθρο 14 του Καν. ΕΕ 651/2014 (ΓΚΑΚ)</w:t>
            </w:r>
          </w:p>
        </w:tc>
      </w:tr>
      <w:tr w:rsidR="002E4BB0" w:rsidRPr="00ED1475" w14:paraId="29B6538F" w14:textId="77777777" w:rsidTr="00CB218B">
        <w:trPr>
          <w:tblHeader/>
        </w:trPr>
        <w:tc>
          <w:tcPr>
            <w:tcW w:w="1623" w:type="dxa"/>
            <w:vMerge w:val="restart"/>
          </w:tcPr>
          <w:p w14:paraId="0F2D961C" w14:textId="77777777" w:rsidR="002E4BB0" w:rsidRPr="00ED1475" w:rsidRDefault="002E4BB0" w:rsidP="007362CD">
            <w:pPr>
              <w:jc w:val="center"/>
              <w:rPr>
                <w:rFonts w:cstheme="minorHAnsi"/>
                <w:b/>
                <w:bCs/>
              </w:rPr>
            </w:pPr>
          </w:p>
        </w:tc>
        <w:tc>
          <w:tcPr>
            <w:tcW w:w="1745" w:type="dxa"/>
            <w:vMerge w:val="restart"/>
          </w:tcPr>
          <w:p w14:paraId="62E473C1" w14:textId="77777777" w:rsidR="002E4BB0" w:rsidRPr="00ED1475" w:rsidRDefault="002E4BB0" w:rsidP="007362CD">
            <w:pPr>
              <w:jc w:val="center"/>
              <w:rPr>
                <w:rFonts w:cstheme="minorHAnsi"/>
                <w:b/>
                <w:bCs/>
              </w:rPr>
            </w:pPr>
          </w:p>
          <w:p w14:paraId="7139AD2B" w14:textId="77777777" w:rsidR="002E4BB0" w:rsidRPr="00ED1475" w:rsidRDefault="002E4BB0" w:rsidP="007362CD">
            <w:pPr>
              <w:jc w:val="center"/>
              <w:rPr>
                <w:rFonts w:cstheme="minorHAnsi"/>
                <w:b/>
                <w:bCs/>
              </w:rPr>
            </w:pPr>
            <w:r w:rsidRPr="00ED1475">
              <w:rPr>
                <w:rFonts w:cstheme="minorHAnsi"/>
                <w:b/>
                <w:bCs/>
              </w:rPr>
              <w:t>Περιφέρειες</w:t>
            </w:r>
          </w:p>
        </w:tc>
        <w:tc>
          <w:tcPr>
            <w:tcW w:w="2662" w:type="dxa"/>
            <w:gridSpan w:val="2"/>
          </w:tcPr>
          <w:p w14:paraId="4CB546B4" w14:textId="77777777" w:rsidR="002E4BB0" w:rsidRPr="00ED1475" w:rsidRDefault="002E4BB0" w:rsidP="007362CD">
            <w:pPr>
              <w:jc w:val="center"/>
              <w:rPr>
                <w:rFonts w:cstheme="minorHAnsi"/>
                <w:b/>
                <w:bCs/>
              </w:rPr>
            </w:pPr>
            <w:r w:rsidRPr="00ED1475">
              <w:rPr>
                <w:rFonts w:cstheme="minorHAnsi"/>
                <w:b/>
                <w:bCs/>
              </w:rPr>
              <w:t>Δημόσια Επιχορήγηση (%)</w:t>
            </w:r>
          </w:p>
        </w:tc>
        <w:tc>
          <w:tcPr>
            <w:tcW w:w="2187" w:type="dxa"/>
            <w:gridSpan w:val="2"/>
          </w:tcPr>
          <w:p w14:paraId="6166396F" w14:textId="77777777" w:rsidR="002E4BB0" w:rsidRPr="00ED1475" w:rsidRDefault="002E4BB0" w:rsidP="007362CD">
            <w:pPr>
              <w:jc w:val="center"/>
              <w:rPr>
                <w:rFonts w:cstheme="minorHAnsi"/>
                <w:b/>
                <w:bCs/>
              </w:rPr>
            </w:pPr>
            <w:r w:rsidRPr="00ED1475">
              <w:rPr>
                <w:rFonts w:cstheme="minorHAnsi"/>
                <w:b/>
                <w:bCs/>
              </w:rPr>
              <w:t>Ιδιωτική Συμμετοχή (%)</w:t>
            </w:r>
          </w:p>
        </w:tc>
      </w:tr>
      <w:tr w:rsidR="002E4BB0" w:rsidRPr="00ED1475" w14:paraId="6329378E" w14:textId="77777777" w:rsidTr="00CB218B">
        <w:trPr>
          <w:tblHeader/>
        </w:trPr>
        <w:tc>
          <w:tcPr>
            <w:tcW w:w="1623" w:type="dxa"/>
            <w:vMerge/>
            <w:tcBorders>
              <w:bottom w:val="double" w:sz="4" w:space="0" w:color="auto"/>
            </w:tcBorders>
          </w:tcPr>
          <w:p w14:paraId="52B04E91" w14:textId="77777777" w:rsidR="002E4BB0" w:rsidRPr="00ED1475" w:rsidRDefault="002E4BB0" w:rsidP="007362CD">
            <w:pPr>
              <w:jc w:val="center"/>
              <w:rPr>
                <w:rFonts w:cstheme="minorHAnsi"/>
                <w:b/>
                <w:bCs/>
              </w:rPr>
            </w:pPr>
          </w:p>
        </w:tc>
        <w:tc>
          <w:tcPr>
            <w:tcW w:w="1745" w:type="dxa"/>
            <w:vMerge/>
            <w:tcBorders>
              <w:bottom w:val="double" w:sz="4" w:space="0" w:color="auto"/>
            </w:tcBorders>
          </w:tcPr>
          <w:p w14:paraId="50C304AA" w14:textId="77777777" w:rsidR="002E4BB0" w:rsidRPr="00ED1475" w:rsidRDefault="002E4BB0" w:rsidP="007362CD">
            <w:pPr>
              <w:pStyle w:val="Default"/>
              <w:jc w:val="both"/>
              <w:rPr>
                <w:rFonts w:asciiTheme="minorHAnsi" w:hAnsiTheme="minorHAnsi" w:cstheme="minorHAnsi"/>
                <w:b/>
                <w:bCs/>
                <w:sz w:val="22"/>
                <w:szCs w:val="22"/>
              </w:rPr>
            </w:pPr>
          </w:p>
        </w:tc>
        <w:tc>
          <w:tcPr>
            <w:tcW w:w="1375" w:type="dxa"/>
            <w:tcBorders>
              <w:bottom w:val="double" w:sz="4" w:space="0" w:color="auto"/>
            </w:tcBorders>
          </w:tcPr>
          <w:p w14:paraId="6496CE7D" w14:textId="77777777" w:rsidR="002E4BB0" w:rsidRPr="002E4BB0" w:rsidRDefault="002E4BB0" w:rsidP="007362CD">
            <w:pPr>
              <w:pStyle w:val="Default"/>
              <w:jc w:val="center"/>
              <w:rPr>
                <w:rFonts w:asciiTheme="minorHAnsi" w:hAnsiTheme="minorHAnsi" w:cstheme="minorHAnsi"/>
                <w:b/>
                <w:bCs/>
                <w:sz w:val="18"/>
                <w:szCs w:val="18"/>
              </w:rPr>
            </w:pPr>
            <w:proofErr w:type="spellStart"/>
            <w:r w:rsidRPr="002E4BB0">
              <w:rPr>
                <w:rFonts w:asciiTheme="minorHAnsi" w:hAnsiTheme="minorHAnsi" w:cstheme="minorHAnsi"/>
                <w:b/>
                <w:bCs/>
                <w:sz w:val="18"/>
                <w:szCs w:val="18"/>
              </w:rPr>
              <w:t>Μεσ</w:t>
            </w:r>
            <w:proofErr w:type="spellEnd"/>
            <w:r w:rsidRPr="002E4BB0">
              <w:rPr>
                <w:rFonts w:asciiTheme="minorHAnsi" w:hAnsiTheme="minorHAnsi" w:cstheme="minorHAnsi"/>
                <w:b/>
                <w:bCs/>
                <w:sz w:val="18"/>
                <w:szCs w:val="18"/>
              </w:rPr>
              <w:t>αίες Επ</w:t>
            </w:r>
            <w:proofErr w:type="spellStart"/>
            <w:r w:rsidRPr="002E4BB0">
              <w:rPr>
                <w:rFonts w:asciiTheme="minorHAnsi" w:hAnsiTheme="minorHAnsi" w:cstheme="minorHAnsi"/>
                <w:b/>
                <w:bCs/>
                <w:sz w:val="18"/>
                <w:szCs w:val="18"/>
              </w:rPr>
              <w:t>ιχειρήσεις</w:t>
            </w:r>
            <w:proofErr w:type="spellEnd"/>
          </w:p>
        </w:tc>
        <w:tc>
          <w:tcPr>
            <w:tcW w:w="1287" w:type="dxa"/>
            <w:tcBorders>
              <w:bottom w:val="double" w:sz="4" w:space="0" w:color="auto"/>
            </w:tcBorders>
          </w:tcPr>
          <w:p w14:paraId="087C7E5C" w14:textId="77777777" w:rsidR="002E4BB0" w:rsidRPr="002E4BB0" w:rsidRDefault="002E4BB0" w:rsidP="007362CD">
            <w:pPr>
              <w:pStyle w:val="Default"/>
              <w:jc w:val="center"/>
              <w:rPr>
                <w:rFonts w:asciiTheme="minorHAnsi" w:hAnsiTheme="minorHAnsi" w:cstheme="minorHAnsi"/>
                <w:b/>
                <w:bCs/>
                <w:sz w:val="18"/>
                <w:szCs w:val="18"/>
              </w:rPr>
            </w:pPr>
            <w:proofErr w:type="spellStart"/>
            <w:r w:rsidRPr="002E4BB0">
              <w:rPr>
                <w:rFonts w:asciiTheme="minorHAnsi" w:hAnsiTheme="minorHAnsi" w:cstheme="minorHAnsi"/>
                <w:b/>
                <w:bCs/>
                <w:sz w:val="18"/>
                <w:szCs w:val="18"/>
              </w:rPr>
              <w:t>Μικρές</w:t>
            </w:r>
            <w:proofErr w:type="spellEnd"/>
            <w:r w:rsidRPr="002E4BB0">
              <w:rPr>
                <w:rFonts w:asciiTheme="minorHAnsi" w:hAnsiTheme="minorHAnsi" w:cstheme="minorHAnsi"/>
                <w:b/>
                <w:bCs/>
                <w:sz w:val="18"/>
                <w:szCs w:val="18"/>
              </w:rPr>
              <w:t xml:space="preserve"> &amp; π</w:t>
            </w:r>
            <w:proofErr w:type="spellStart"/>
            <w:r w:rsidRPr="002E4BB0">
              <w:rPr>
                <w:rFonts w:asciiTheme="minorHAnsi" w:hAnsiTheme="minorHAnsi" w:cstheme="minorHAnsi"/>
                <w:b/>
                <w:bCs/>
                <w:sz w:val="18"/>
                <w:szCs w:val="18"/>
              </w:rPr>
              <w:t>ολύ</w:t>
            </w:r>
            <w:proofErr w:type="spellEnd"/>
            <w:r w:rsidRPr="002E4BB0">
              <w:rPr>
                <w:rFonts w:asciiTheme="minorHAnsi" w:hAnsiTheme="minorHAnsi" w:cstheme="minorHAnsi"/>
                <w:b/>
                <w:bCs/>
                <w:sz w:val="18"/>
                <w:szCs w:val="18"/>
              </w:rPr>
              <w:t xml:space="preserve"> </w:t>
            </w:r>
            <w:proofErr w:type="spellStart"/>
            <w:r w:rsidRPr="002E4BB0">
              <w:rPr>
                <w:rFonts w:asciiTheme="minorHAnsi" w:hAnsiTheme="minorHAnsi" w:cstheme="minorHAnsi"/>
                <w:b/>
                <w:bCs/>
                <w:sz w:val="18"/>
                <w:szCs w:val="18"/>
              </w:rPr>
              <w:t>Μικρές</w:t>
            </w:r>
            <w:proofErr w:type="spellEnd"/>
            <w:r w:rsidRPr="002E4BB0">
              <w:rPr>
                <w:rFonts w:asciiTheme="minorHAnsi" w:hAnsiTheme="minorHAnsi" w:cstheme="minorHAnsi"/>
                <w:b/>
                <w:bCs/>
                <w:sz w:val="18"/>
                <w:szCs w:val="18"/>
              </w:rPr>
              <w:t xml:space="preserve"> Επ</w:t>
            </w:r>
            <w:proofErr w:type="spellStart"/>
            <w:r w:rsidRPr="002E4BB0">
              <w:rPr>
                <w:rFonts w:asciiTheme="minorHAnsi" w:hAnsiTheme="minorHAnsi" w:cstheme="minorHAnsi"/>
                <w:b/>
                <w:bCs/>
                <w:sz w:val="18"/>
                <w:szCs w:val="18"/>
              </w:rPr>
              <w:t>ιχειρήσεις</w:t>
            </w:r>
            <w:proofErr w:type="spellEnd"/>
          </w:p>
        </w:tc>
        <w:tc>
          <w:tcPr>
            <w:tcW w:w="1254" w:type="dxa"/>
            <w:tcBorders>
              <w:bottom w:val="double" w:sz="4" w:space="0" w:color="auto"/>
            </w:tcBorders>
          </w:tcPr>
          <w:p w14:paraId="2B0846F2" w14:textId="77777777" w:rsidR="002E4BB0" w:rsidRPr="002E4BB0" w:rsidRDefault="002E4BB0" w:rsidP="007362CD">
            <w:pPr>
              <w:pStyle w:val="Default"/>
              <w:jc w:val="center"/>
              <w:rPr>
                <w:rFonts w:asciiTheme="minorHAnsi" w:hAnsiTheme="minorHAnsi" w:cstheme="minorHAnsi"/>
                <w:b/>
                <w:bCs/>
                <w:sz w:val="18"/>
                <w:szCs w:val="18"/>
              </w:rPr>
            </w:pPr>
            <w:proofErr w:type="spellStart"/>
            <w:r w:rsidRPr="002E4BB0">
              <w:rPr>
                <w:rFonts w:asciiTheme="minorHAnsi" w:hAnsiTheme="minorHAnsi" w:cstheme="minorHAnsi"/>
                <w:b/>
                <w:bCs/>
                <w:sz w:val="18"/>
                <w:szCs w:val="18"/>
              </w:rPr>
              <w:t>Μεσ</w:t>
            </w:r>
            <w:proofErr w:type="spellEnd"/>
            <w:r w:rsidRPr="002E4BB0">
              <w:rPr>
                <w:rFonts w:asciiTheme="minorHAnsi" w:hAnsiTheme="minorHAnsi" w:cstheme="minorHAnsi"/>
                <w:b/>
                <w:bCs/>
                <w:sz w:val="18"/>
                <w:szCs w:val="18"/>
              </w:rPr>
              <w:t>αίες Επ</w:t>
            </w:r>
            <w:proofErr w:type="spellStart"/>
            <w:r w:rsidRPr="002E4BB0">
              <w:rPr>
                <w:rFonts w:asciiTheme="minorHAnsi" w:hAnsiTheme="minorHAnsi" w:cstheme="minorHAnsi"/>
                <w:b/>
                <w:bCs/>
                <w:sz w:val="18"/>
                <w:szCs w:val="18"/>
              </w:rPr>
              <w:t>ιχειρήσεις</w:t>
            </w:r>
            <w:proofErr w:type="spellEnd"/>
            <w:r w:rsidRPr="002E4BB0">
              <w:rPr>
                <w:rFonts w:asciiTheme="minorHAnsi" w:hAnsiTheme="minorHAnsi" w:cstheme="minorHAnsi"/>
                <w:b/>
                <w:bCs/>
                <w:sz w:val="18"/>
                <w:szCs w:val="18"/>
              </w:rPr>
              <w:t xml:space="preserve"> </w:t>
            </w:r>
          </w:p>
        </w:tc>
        <w:tc>
          <w:tcPr>
            <w:tcW w:w="933" w:type="dxa"/>
            <w:tcBorders>
              <w:bottom w:val="double" w:sz="4" w:space="0" w:color="auto"/>
            </w:tcBorders>
          </w:tcPr>
          <w:p w14:paraId="77967C3D" w14:textId="77777777" w:rsidR="002E4BB0" w:rsidRPr="002E4BB0" w:rsidRDefault="002E4BB0" w:rsidP="007362CD">
            <w:pPr>
              <w:pStyle w:val="Default"/>
              <w:jc w:val="center"/>
              <w:rPr>
                <w:rFonts w:asciiTheme="minorHAnsi" w:hAnsiTheme="minorHAnsi" w:cstheme="minorHAnsi"/>
                <w:b/>
                <w:bCs/>
                <w:sz w:val="18"/>
                <w:szCs w:val="18"/>
              </w:rPr>
            </w:pPr>
            <w:proofErr w:type="spellStart"/>
            <w:r w:rsidRPr="002E4BB0">
              <w:rPr>
                <w:rFonts w:asciiTheme="minorHAnsi" w:hAnsiTheme="minorHAnsi" w:cstheme="minorHAnsi"/>
                <w:b/>
                <w:bCs/>
                <w:sz w:val="18"/>
                <w:szCs w:val="18"/>
              </w:rPr>
              <w:t>Μικρές</w:t>
            </w:r>
            <w:proofErr w:type="spellEnd"/>
            <w:r w:rsidRPr="002E4BB0">
              <w:rPr>
                <w:rFonts w:asciiTheme="minorHAnsi" w:hAnsiTheme="minorHAnsi" w:cstheme="minorHAnsi"/>
                <w:b/>
                <w:bCs/>
                <w:sz w:val="18"/>
                <w:szCs w:val="18"/>
              </w:rPr>
              <w:t xml:space="preserve"> &amp; π</w:t>
            </w:r>
            <w:proofErr w:type="spellStart"/>
            <w:r w:rsidRPr="002E4BB0">
              <w:rPr>
                <w:rFonts w:asciiTheme="minorHAnsi" w:hAnsiTheme="minorHAnsi" w:cstheme="minorHAnsi"/>
                <w:b/>
                <w:bCs/>
                <w:sz w:val="18"/>
                <w:szCs w:val="18"/>
              </w:rPr>
              <w:t>ολύ</w:t>
            </w:r>
            <w:proofErr w:type="spellEnd"/>
            <w:r w:rsidRPr="002E4BB0">
              <w:rPr>
                <w:rFonts w:asciiTheme="minorHAnsi" w:hAnsiTheme="minorHAnsi" w:cstheme="minorHAnsi"/>
                <w:b/>
                <w:bCs/>
                <w:sz w:val="18"/>
                <w:szCs w:val="18"/>
              </w:rPr>
              <w:t xml:space="preserve"> </w:t>
            </w:r>
            <w:proofErr w:type="spellStart"/>
            <w:r w:rsidRPr="002E4BB0">
              <w:rPr>
                <w:rFonts w:asciiTheme="minorHAnsi" w:hAnsiTheme="minorHAnsi" w:cstheme="minorHAnsi"/>
                <w:b/>
                <w:bCs/>
                <w:sz w:val="18"/>
                <w:szCs w:val="18"/>
              </w:rPr>
              <w:t>Μικρές</w:t>
            </w:r>
            <w:proofErr w:type="spellEnd"/>
            <w:r w:rsidRPr="002E4BB0">
              <w:rPr>
                <w:rFonts w:asciiTheme="minorHAnsi" w:hAnsiTheme="minorHAnsi" w:cstheme="minorHAnsi"/>
                <w:b/>
                <w:bCs/>
                <w:sz w:val="18"/>
                <w:szCs w:val="18"/>
              </w:rPr>
              <w:t xml:space="preserve"> Επ</w:t>
            </w:r>
            <w:proofErr w:type="spellStart"/>
            <w:r w:rsidRPr="002E4BB0">
              <w:rPr>
                <w:rFonts w:asciiTheme="minorHAnsi" w:hAnsiTheme="minorHAnsi" w:cstheme="minorHAnsi"/>
                <w:b/>
                <w:bCs/>
                <w:sz w:val="18"/>
                <w:szCs w:val="18"/>
              </w:rPr>
              <w:t>ιχειρήσεις</w:t>
            </w:r>
            <w:proofErr w:type="spellEnd"/>
            <w:r w:rsidRPr="002E4BB0">
              <w:rPr>
                <w:rFonts w:asciiTheme="minorHAnsi" w:hAnsiTheme="minorHAnsi" w:cstheme="minorHAnsi"/>
                <w:b/>
                <w:bCs/>
                <w:sz w:val="18"/>
                <w:szCs w:val="18"/>
              </w:rPr>
              <w:t xml:space="preserve"> </w:t>
            </w:r>
          </w:p>
        </w:tc>
      </w:tr>
      <w:tr w:rsidR="002E4BB0" w:rsidRPr="00ED1475" w14:paraId="01BAB8C7" w14:textId="77777777" w:rsidTr="002E4BB0">
        <w:tc>
          <w:tcPr>
            <w:tcW w:w="1623" w:type="dxa"/>
            <w:vMerge w:val="restart"/>
            <w:tcBorders>
              <w:top w:val="double" w:sz="4" w:space="0" w:color="auto"/>
              <w:left w:val="double" w:sz="4" w:space="0" w:color="auto"/>
            </w:tcBorders>
          </w:tcPr>
          <w:p w14:paraId="3F45251E" w14:textId="77777777" w:rsidR="002E4BB0" w:rsidRPr="00ED1475" w:rsidRDefault="002E4BB0" w:rsidP="007362CD">
            <w:pPr>
              <w:jc w:val="center"/>
              <w:rPr>
                <w:rFonts w:cstheme="minorHAnsi"/>
              </w:rPr>
            </w:pPr>
          </w:p>
          <w:p w14:paraId="5AADC444" w14:textId="77777777" w:rsidR="002E4BB0" w:rsidRPr="00ED1475" w:rsidRDefault="002E4BB0" w:rsidP="007362CD">
            <w:pPr>
              <w:jc w:val="center"/>
              <w:rPr>
                <w:rFonts w:cstheme="minorHAnsi"/>
              </w:rPr>
            </w:pPr>
          </w:p>
          <w:p w14:paraId="574F52C6" w14:textId="77777777" w:rsidR="002E4BB0" w:rsidRPr="00ED1475" w:rsidRDefault="002E4BB0" w:rsidP="007362CD">
            <w:pPr>
              <w:jc w:val="center"/>
              <w:rPr>
                <w:rFonts w:cstheme="minorHAnsi"/>
              </w:rPr>
            </w:pPr>
          </w:p>
          <w:p w14:paraId="19274941" w14:textId="77777777" w:rsidR="002E4BB0" w:rsidRPr="00ED1475" w:rsidRDefault="002E4BB0" w:rsidP="007362CD">
            <w:pPr>
              <w:jc w:val="center"/>
              <w:rPr>
                <w:rFonts w:cstheme="minorHAnsi"/>
              </w:rPr>
            </w:pPr>
          </w:p>
          <w:p w14:paraId="1331F57E" w14:textId="77777777" w:rsidR="002E4BB0" w:rsidRPr="00ED1475" w:rsidRDefault="002E4BB0" w:rsidP="007362CD">
            <w:pPr>
              <w:jc w:val="center"/>
              <w:rPr>
                <w:rFonts w:cstheme="minorHAnsi"/>
              </w:rPr>
            </w:pPr>
          </w:p>
          <w:p w14:paraId="7EA3A30F" w14:textId="77777777" w:rsidR="002E4BB0" w:rsidRPr="00ED1475" w:rsidRDefault="002E4BB0" w:rsidP="007362CD">
            <w:pPr>
              <w:jc w:val="center"/>
              <w:rPr>
                <w:rFonts w:cstheme="minorHAnsi"/>
              </w:rPr>
            </w:pPr>
          </w:p>
          <w:p w14:paraId="66B370CE" w14:textId="77777777" w:rsidR="002E4BB0" w:rsidRPr="00ED1475" w:rsidRDefault="002E4BB0" w:rsidP="007362CD">
            <w:pPr>
              <w:jc w:val="center"/>
              <w:rPr>
                <w:rFonts w:cstheme="minorHAnsi"/>
              </w:rPr>
            </w:pPr>
          </w:p>
          <w:p w14:paraId="0CFB8081" w14:textId="77777777" w:rsidR="002E4BB0" w:rsidRPr="00ED1475" w:rsidRDefault="002E4BB0" w:rsidP="007362CD">
            <w:pPr>
              <w:jc w:val="center"/>
              <w:rPr>
                <w:rFonts w:cstheme="minorHAnsi"/>
              </w:rPr>
            </w:pPr>
          </w:p>
          <w:p w14:paraId="277D9D65" w14:textId="77777777" w:rsidR="002E4BB0" w:rsidRPr="00ED1475" w:rsidRDefault="002E4BB0" w:rsidP="007362CD">
            <w:pPr>
              <w:jc w:val="center"/>
              <w:rPr>
                <w:rFonts w:cstheme="minorHAnsi"/>
              </w:rPr>
            </w:pPr>
          </w:p>
          <w:p w14:paraId="190BFEF0" w14:textId="77777777" w:rsidR="002E4BB0" w:rsidRPr="00ED1475" w:rsidRDefault="002E4BB0" w:rsidP="007362CD">
            <w:pPr>
              <w:jc w:val="center"/>
              <w:rPr>
                <w:rFonts w:cstheme="minorHAnsi"/>
              </w:rPr>
            </w:pPr>
          </w:p>
          <w:p w14:paraId="7C400F75" w14:textId="77777777" w:rsidR="002E4BB0" w:rsidRPr="00ED1475" w:rsidRDefault="002E4BB0" w:rsidP="007362CD">
            <w:pPr>
              <w:jc w:val="center"/>
              <w:rPr>
                <w:rFonts w:cstheme="minorHAnsi"/>
              </w:rPr>
            </w:pPr>
          </w:p>
          <w:p w14:paraId="409DE647" w14:textId="77777777" w:rsidR="002E4BB0" w:rsidRPr="00ED1475" w:rsidRDefault="002E4BB0" w:rsidP="007362CD">
            <w:pPr>
              <w:jc w:val="center"/>
              <w:rPr>
                <w:rFonts w:cstheme="minorHAnsi"/>
              </w:rPr>
            </w:pPr>
            <w:r w:rsidRPr="00ED1475">
              <w:rPr>
                <w:rFonts w:cstheme="minorHAnsi"/>
              </w:rPr>
              <w:t xml:space="preserve">Επιλέξιμες Δαπάνες </w:t>
            </w:r>
            <w:r w:rsidRPr="00ED1475">
              <w:rPr>
                <w:rFonts w:cstheme="minorHAnsi"/>
              </w:rPr>
              <w:lastRenderedPageBreak/>
              <w:t>(Σύμφωνα με το Άρθρο 14)</w:t>
            </w:r>
          </w:p>
        </w:tc>
        <w:tc>
          <w:tcPr>
            <w:tcW w:w="1745" w:type="dxa"/>
            <w:tcBorders>
              <w:top w:val="double" w:sz="4" w:space="0" w:color="auto"/>
            </w:tcBorders>
          </w:tcPr>
          <w:p w14:paraId="0498057E" w14:textId="77777777" w:rsidR="002E4BB0" w:rsidRPr="002E4BB0" w:rsidRDefault="002E4BB0" w:rsidP="007362CD">
            <w:pPr>
              <w:pStyle w:val="Default"/>
              <w:rPr>
                <w:rFonts w:asciiTheme="minorHAnsi" w:hAnsiTheme="minorHAnsi" w:cstheme="minorHAnsi"/>
                <w:sz w:val="22"/>
                <w:szCs w:val="22"/>
                <w:lang w:val="el-GR"/>
              </w:rPr>
            </w:pPr>
            <w:r w:rsidRPr="002E4BB0">
              <w:rPr>
                <w:rFonts w:asciiTheme="minorHAnsi" w:hAnsiTheme="minorHAnsi" w:cstheme="minorHAnsi"/>
                <w:sz w:val="22"/>
                <w:szCs w:val="22"/>
                <w:lang w:val="el-GR"/>
              </w:rPr>
              <w:lastRenderedPageBreak/>
              <w:t xml:space="preserve">Βόρειο Αιγαίο, Κρήτη, Ανατ. Μακεδονία – Θράκη, Κεντρική Μακεδονία, Δυτική Μακεδονία, Ήπειρος, Θεσσαλία, Ιόνια Νησιά, Δυτική Ελλάδα, Στερεά Ελλάδα, Πελοπόννησος </w:t>
            </w:r>
          </w:p>
        </w:tc>
        <w:tc>
          <w:tcPr>
            <w:tcW w:w="1375" w:type="dxa"/>
            <w:tcBorders>
              <w:top w:val="double" w:sz="4" w:space="0" w:color="auto"/>
            </w:tcBorders>
          </w:tcPr>
          <w:p w14:paraId="57176221" w14:textId="77777777" w:rsidR="002E4BB0" w:rsidRPr="00ED1475" w:rsidRDefault="002E4BB0" w:rsidP="007362CD">
            <w:pPr>
              <w:jc w:val="both"/>
              <w:rPr>
                <w:rFonts w:cstheme="minorHAnsi"/>
              </w:rPr>
            </w:pPr>
          </w:p>
          <w:p w14:paraId="371C5E09" w14:textId="77777777" w:rsidR="002E4BB0" w:rsidRPr="00ED1475" w:rsidRDefault="002E4BB0" w:rsidP="007362CD">
            <w:pPr>
              <w:jc w:val="both"/>
              <w:rPr>
                <w:rFonts w:cstheme="minorHAnsi"/>
              </w:rPr>
            </w:pPr>
          </w:p>
          <w:p w14:paraId="56505523" w14:textId="77777777" w:rsidR="002E4BB0" w:rsidRPr="00ED1475" w:rsidRDefault="002E4BB0" w:rsidP="007362CD">
            <w:pPr>
              <w:jc w:val="center"/>
              <w:rPr>
                <w:rFonts w:cstheme="minorHAnsi"/>
              </w:rPr>
            </w:pPr>
          </w:p>
          <w:p w14:paraId="62DEFFB2" w14:textId="77777777" w:rsidR="002E4BB0" w:rsidRPr="00ED1475" w:rsidRDefault="002E4BB0" w:rsidP="007362CD">
            <w:pPr>
              <w:jc w:val="center"/>
              <w:rPr>
                <w:rFonts w:cstheme="minorHAnsi"/>
              </w:rPr>
            </w:pPr>
          </w:p>
          <w:p w14:paraId="200443A8" w14:textId="77777777" w:rsidR="002E4BB0" w:rsidRPr="00ED1475" w:rsidRDefault="002E4BB0" w:rsidP="007362CD">
            <w:pPr>
              <w:jc w:val="center"/>
              <w:rPr>
                <w:rFonts w:cstheme="minorHAnsi"/>
              </w:rPr>
            </w:pPr>
          </w:p>
          <w:p w14:paraId="5EA43E66" w14:textId="77777777" w:rsidR="002E4BB0" w:rsidRPr="00ED1475" w:rsidRDefault="002E4BB0" w:rsidP="007362CD">
            <w:pPr>
              <w:jc w:val="center"/>
              <w:rPr>
                <w:rFonts w:cstheme="minorHAnsi"/>
              </w:rPr>
            </w:pPr>
            <w:r w:rsidRPr="00ED1475">
              <w:rPr>
                <w:rFonts w:cstheme="minorHAnsi"/>
              </w:rPr>
              <w:t>50%</w:t>
            </w:r>
          </w:p>
        </w:tc>
        <w:tc>
          <w:tcPr>
            <w:tcW w:w="1287" w:type="dxa"/>
            <w:tcBorders>
              <w:top w:val="double" w:sz="4" w:space="0" w:color="auto"/>
            </w:tcBorders>
          </w:tcPr>
          <w:p w14:paraId="5DFABC00" w14:textId="77777777" w:rsidR="002E4BB0" w:rsidRPr="00ED1475" w:rsidRDefault="002E4BB0" w:rsidP="007362CD">
            <w:pPr>
              <w:jc w:val="center"/>
              <w:rPr>
                <w:rFonts w:cstheme="minorHAnsi"/>
              </w:rPr>
            </w:pPr>
          </w:p>
          <w:p w14:paraId="770B29E2" w14:textId="77777777" w:rsidR="002E4BB0" w:rsidRPr="00ED1475" w:rsidRDefault="002E4BB0" w:rsidP="007362CD">
            <w:pPr>
              <w:jc w:val="center"/>
              <w:rPr>
                <w:rFonts w:cstheme="minorHAnsi"/>
              </w:rPr>
            </w:pPr>
          </w:p>
          <w:p w14:paraId="0252B3CC" w14:textId="77777777" w:rsidR="002E4BB0" w:rsidRPr="00ED1475" w:rsidRDefault="002E4BB0" w:rsidP="007362CD">
            <w:pPr>
              <w:jc w:val="center"/>
              <w:rPr>
                <w:rFonts w:cstheme="minorHAnsi"/>
              </w:rPr>
            </w:pPr>
          </w:p>
          <w:p w14:paraId="39C853C7" w14:textId="77777777" w:rsidR="002E4BB0" w:rsidRPr="00ED1475" w:rsidRDefault="002E4BB0" w:rsidP="007362CD">
            <w:pPr>
              <w:jc w:val="center"/>
              <w:rPr>
                <w:rFonts w:cstheme="minorHAnsi"/>
              </w:rPr>
            </w:pPr>
          </w:p>
          <w:p w14:paraId="5542DBC0" w14:textId="77777777" w:rsidR="002E4BB0" w:rsidRPr="00ED1475" w:rsidRDefault="002E4BB0" w:rsidP="007362CD">
            <w:pPr>
              <w:jc w:val="center"/>
              <w:rPr>
                <w:rFonts w:cstheme="minorHAnsi"/>
              </w:rPr>
            </w:pPr>
          </w:p>
          <w:p w14:paraId="00F53928" w14:textId="77777777" w:rsidR="002E4BB0" w:rsidRPr="00ED1475" w:rsidRDefault="002E4BB0" w:rsidP="007362CD">
            <w:pPr>
              <w:jc w:val="center"/>
              <w:rPr>
                <w:rFonts w:cstheme="minorHAnsi"/>
              </w:rPr>
            </w:pPr>
            <w:r w:rsidRPr="00ED1475">
              <w:rPr>
                <w:rFonts w:cstheme="minorHAnsi"/>
              </w:rPr>
              <w:t>50%</w:t>
            </w:r>
          </w:p>
        </w:tc>
        <w:tc>
          <w:tcPr>
            <w:tcW w:w="1254" w:type="dxa"/>
            <w:tcBorders>
              <w:top w:val="double" w:sz="4" w:space="0" w:color="auto"/>
            </w:tcBorders>
          </w:tcPr>
          <w:p w14:paraId="5A9E764B" w14:textId="77777777" w:rsidR="002E4BB0" w:rsidRPr="00ED1475" w:rsidRDefault="002E4BB0" w:rsidP="007362CD">
            <w:pPr>
              <w:jc w:val="both"/>
              <w:rPr>
                <w:rFonts w:cstheme="minorHAnsi"/>
              </w:rPr>
            </w:pPr>
          </w:p>
          <w:p w14:paraId="0C2CEF05" w14:textId="77777777" w:rsidR="002E4BB0" w:rsidRPr="00ED1475" w:rsidRDefault="002E4BB0" w:rsidP="007362CD">
            <w:pPr>
              <w:jc w:val="both"/>
              <w:rPr>
                <w:rFonts w:cstheme="minorHAnsi"/>
              </w:rPr>
            </w:pPr>
          </w:p>
          <w:p w14:paraId="32DA549B" w14:textId="77777777" w:rsidR="002E4BB0" w:rsidRPr="00ED1475" w:rsidRDefault="002E4BB0" w:rsidP="007362CD">
            <w:pPr>
              <w:jc w:val="both"/>
              <w:rPr>
                <w:rFonts w:cstheme="minorHAnsi"/>
              </w:rPr>
            </w:pPr>
          </w:p>
          <w:p w14:paraId="7CEC8437" w14:textId="77777777" w:rsidR="002E4BB0" w:rsidRPr="00ED1475" w:rsidRDefault="002E4BB0" w:rsidP="007362CD">
            <w:pPr>
              <w:jc w:val="both"/>
              <w:rPr>
                <w:rFonts w:cstheme="minorHAnsi"/>
              </w:rPr>
            </w:pPr>
          </w:p>
          <w:p w14:paraId="18991DE1" w14:textId="77777777" w:rsidR="002E4BB0" w:rsidRPr="00ED1475" w:rsidRDefault="002E4BB0" w:rsidP="007362CD">
            <w:pPr>
              <w:jc w:val="both"/>
              <w:rPr>
                <w:rFonts w:cstheme="minorHAnsi"/>
              </w:rPr>
            </w:pPr>
          </w:p>
          <w:p w14:paraId="451C09CB" w14:textId="77777777" w:rsidR="002E4BB0" w:rsidRPr="00ED1475" w:rsidRDefault="002E4BB0" w:rsidP="007362CD">
            <w:pPr>
              <w:jc w:val="center"/>
              <w:rPr>
                <w:rFonts w:cstheme="minorHAnsi"/>
              </w:rPr>
            </w:pPr>
            <w:r w:rsidRPr="00ED1475">
              <w:rPr>
                <w:rFonts w:cstheme="minorHAnsi"/>
              </w:rPr>
              <w:t>50%</w:t>
            </w:r>
          </w:p>
        </w:tc>
        <w:tc>
          <w:tcPr>
            <w:tcW w:w="933" w:type="dxa"/>
            <w:tcBorders>
              <w:top w:val="double" w:sz="4" w:space="0" w:color="auto"/>
              <w:right w:val="double" w:sz="4" w:space="0" w:color="auto"/>
            </w:tcBorders>
          </w:tcPr>
          <w:p w14:paraId="5FB08E68" w14:textId="77777777" w:rsidR="002E4BB0" w:rsidRPr="00ED1475" w:rsidRDefault="002E4BB0" w:rsidP="007362CD">
            <w:pPr>
              <w:jc w:val="both"/>
              <w:rPr>
                <w:rFonts w:cstheme="minorHAnsi"/>
              </w:rPr>
            </w:pPr>
          </w:p>
          <w:p w14:paraId="13540792" w14:textId="77777777" w:rsidR="002E4BB0" w:rsidRPr="00ED1475" w:rsidRDefault="002E4BB0" w:rsidP="007362CD">
            <w:pPr>
              <w:jc w:val="both"/>
              <w:rPr>
                <w:rFonts w:cstheme="minorHAnsi"/>
              </w:rPr>
            </w:pPr>
          </w:p>
          <w:p w14:paraId="19B33313" w14:textId="77777777" w:rsidR="002E4BB0" w:rsidRPr="00ED1475" w:rsidRDefault="002E4BB0" w:rsidP="007362CD">
            <w:pPr>
              <w:jc w:val="both"/>
              <w:rPr>
                <w:rFonts w:cstheme="minorHAnsi"/>
              </w:rPr>
            </w:pPr>
          </w:p>
          <w:p w14:paraId="0ABB1AE0" w14:textId="77777777" w:rsidR="002E4BB0" w:rsidRPr="00ED1475" w:rsidRDefault="002E4BB0" w:rsidP="007362CD">
            <w:pPr>
              <w:jc w:val="both"/>
              <w:rPr>
                <w:rFonts w:cstheme="minorHAnsi"/>
              </w:rPr>
            </w:pPr>
          </w:p>
          <w:p w14:paraId="4702B4FA" w14:textId="77777777" w:rsidR="002E4BB0" w:rsidRPr="00ED1475" w:rsidRDefault="002E4BB0" w:rsidP="007362CD">
            <w:pPr>
              <w:jc w:val="both"/>
              <w:rPr>
                <w:rFonts w:cstheme="minorHAnsi"/>
              </w:rPr>
            </w:pPr>
          </w:p>
          <w:p w14:paraId="4DE5BE1A" w14:textId="77777777" w:rsidR="002E4BB0" w:rsidRPr="00ED1475" w:rsidRDefault="002E4BB0" w:rsidP="007362CD">
            <w:pPr>
              <w:jc w:val="center"/>
              <w:rPr>
                <w:rFonts w:cstheme="minorHAnsi"/>
              </w:rPr>
            </w:pPr>
            <w:r w:rsidRPr="00ED1475">
              <w:rPr>
                <w:rFonts w:cstheme="minorHAnsi"/>
              </w:rPr>
              <w:t>50%</w:t>
            </w:r>
          </w:p>
        </w:tc>
      </w:tr>
      <w:tr w:rsidR="002E4BB0" w:rsidRPr="00ED1475" w14:paraId="650EE8FC" w14:textId="77777777" w:rsidTr="002E4BB0">
        <w:trPr>
          <w:trHeight w:val="385"/>
        </w:trPr>
        <w:tc>
          <w:tcPr>
            <w:tcW w:w="1623" w:type="dxa"/>
            <w:vMerge/>
            <w:tcBorders>
              <w:left w:val="double" w:sz="4" w:space="0" w:color="auto"/>
            </w:tcBorders>
          </w:tcPr>
          <w:p w14:paraId="734F48C9" w14:textId="77777777" w:rsidR="002E4BB0" w:rsidRPr="00ED1475" w:rsidRDefault="002E4BB0" w:rsidP="007362CD">
            <w:pPr>
              <w:jc w:val="both"/>
              <w:rPr>
                <w:rFonts w:cstheme="minorHAnsi"/>
              </w:rPr>
            </w:pPr>
          </w:p>
        </w:tc>
        <w:tc>
          <w:tcPr>
            <w:tcW w:w="1745" w:type="dxa"/>
          </w:tcPr>
          <w:p w14:paraId="43A84474" w14:textId="77777777" w:rsidR="002E4BB0" w:rsidRPr="00ED1475" w:rsidRDefault="002E4BB0" w:rsidP="007362CD">
            <w:pPr>
              <w:pStyle w:val="Default"/>
              <w:rPr>
                <w:rFonts w:asciiTheme="minorHAnsi" w:hAnsiTheme="minorHAnsi" w:cstheme="minorHAnsi"/>
                <w:sz w:val="22"/>
                <w:szCs w:val="22"/>
              </w:rPr>
            </w:pPr>
          </w:p>
          <w:p w14:paraId="2956E33E" w14:textId="77777777" w:rsidR="002E4BB0" w:rsidRPr="00ED1475" w:rsidRDefault="002E4BB0" w:rsidP="007362CD">
            <w:pPr>
              <w:pStyle w:val="Default"/>
              <w:rPr>
                <w:rFonts w:asciiTheme="minorHAnsi" w:hAnsiTheme="minorHAnsi" w:cstheme="minorHAnsi"/>
                <w:sz w:val="22"/>
                <w:szCs w:val="22"/>
              </w:rPr>
            </w:pPr>
            <w:proofErr w:type="spellStart"/>
            <w:r w:rsidRPr="00ED1475">
              <w:rPr>
                <w:rFonts w:asciiTheme="minorHAnsi" w:hAnsiTheme="minorHAnsi" w:cstheme="minorHAnsi"/>
                <w:sz w:val="22"/>
                <w:szCs w:val="22"/>
              </w:rPr>
              <w:t>Νότιο</w:t>
            </w:r>
            <w:proofErr w:type="spellEnd"/>
            <w:r w:rsidRPr="00ED1475">
              <w:rPr>
                <w:rFonts w:asciiTheme="minorHAnsi" w:hAnsiTheme="minorHAnsi" w:cstheme="minorHAnsi"/>
                <w:sz w:val="22"/>
                <w:szCs w:val="22"/>
              </w:rPr>
              <w:t xml:space="preserve"> </w:t>
            </w:r>
            <w:proofErr w:type="spellStart"/>
            <w:r w:rsidRPr="00ED1475">
              <w:rPr>
                <w:rFonts w:asciiTheme="minorHAnsi" w:hAnsiTheme="minorHAnsi" w:cstheme="minorHAnsi"/>
                <w:sz w:val="22"/>
                <w:szCs w:val="22"/>
              </w:rPr>
              <w:t>Αιγ</w:t>
            </w:r>
            <w:proofErr w:type="spellEnd"/>
            <w:r w:rsidRPr="00ED1475">
              <w:rPr>
                <w:rFonts w:asciiTheme="minorHAnsi" w:hAnsiTheme="minorHAnsi" w:cstheme="minorHAnsi"/>
                <w:sz w:val="22"/>
                <w:szCs w:val="22"/>
              </w:rPr>
              <w:t xml:space="preserve">αίο </w:t>
            </w:r>
          </w:p>
        </w:tc>
        <w:tc>
          <w:tcPr>
            <w:tcW w:w="1375" w:type="dxa"/>
          </w:tcPr>
          <w:p w14:paraId="055897D8" w14:textId="77777777" w:rsidR="002E4BB0" w:rsidRPr="00ED1475" w:rsidRDefault="002E4BB0" w:rsidP="007362CD">
            <w:pPr>
              <w:jc w:val="center"/>
              <w:rPr>
                <w:rFonts w:cstheme="minorHAnsi"/>
              </w:rPr>
            </w:pPr>
          </w:p>
          <w:p w14:paraId="32C5F689" w14:textId="77777777" w:rsidR="002E4BB0" w:rsidRPr="00ED1475" w:rsidRDefault="002E4BB0" w:rsidP="007362CD">
            <w:pPr>
              <w:jc w:val="center"/>
              <w:rPr>
                <w:rFonts w:cstheme="minorHAnsi"/>
              </w:rPr>
            </w:pPr>
            <w:r w:rsidRPr="00ED1475">
              <w:rPr>
                <w:rFonts w:cstheme="minorHAnsi"/>
              </w:rPr>
              <w:t>40%</w:t>
            </w:r>
          </w:p>
        </w:tc>
        <w:tc>
          <w:tcPr>
            <w:tcW w:w="1287" w:type="dxa"/>
          </w:tcPr>
          <w:p w14:paraId="6F8FC108" w14:textId="77777777" w:rsidR="002E4BB0" w:rsidRPr="00ED1475" w:rsidRDefault="002E4BB0" w:rsidP="007362CD">
            <w:pPr>
              <w:jc w:val="center"/>
              <w:rPr>
                <w:rFonts w:cstheme="minorHAnsi"/>
              </w:rPr>
            </w:pPr>
          </w:p>
          <w:p w14:paraId="78ED32E2" w14:textId="77777777" w:rsidR="002E4BB0" w:rsidRPr="00ED1475" w:rsidRDefault="002E4BB0" w:rsidP="007362CD">
            <w:pPr>
              <w:jc w:val="center"/>
              <w:rPr>
                <w:rFonts w:cstheme="minorHAnsi"/>
              </w:rPr>
            </w:pPr>
            <w:r w:rsidRPr="00ED1475">
              <w:rPr>
                <w:rFonts w:cstheme="minorHAnsi"/>
              </w:rPr>
              <w:t>50%</w:t>
            </w:r>
          </w:p>
        </w:tc>
        <w:tc>
          <w:tcPr>
            <w:tcW w:w="1254" w:type="dxa"/>
          </w:tcPr>
          <w:p w14:paraId="3EC6065B" w14:textId="77777777" w:rsidR="002E4BB0" w:rsidRPr="00ED1475" w:rsidRDefault="002E4BB0" w:rsidP="007362CD">
            <w:pPr>
              <w:jc w:val="center"/>
              <w:rPr>
                <w:rFonts w:cstheme="minorHAnsi"/>
              </w:rPr>
            </w:pPr>
          </w:p>
          <w:p w14:paraId="4DEEAD72" w14:textId="77777777" w:rsidR="002E4BB0" w:rsidRPr="00ED1475" w:rsidRDefault="002E4BB0" w:rsidP="007362CD">
            <w:pPr>
              <w:jc w:val="center"/>
              <w:rPr>
                <w:rFonts w:cstheme="minorHAnsi"/>
              </w:rPr>
            </w:pPr>
            <w:r w:rsidRPr="00ED1475">
              <w:rPr>
                <w:rFonts w:cstheme="minorHAnsi"/>
              </w:rPr>
              <w:t>60%</w:t>
            </w:r>
          </w:p>
        </w:tc>
        <w:tc>
          <w:tcPr>
            <w:tcW w:w="933" w:type="dxa"/>
            <w:tcBorders>
              <w:right w:val="double" w:sz="4" w:space="0" w:color="auto"/>
            </w:tcBorders>
          </w:tcPr>
          <w:p w14:paraId="5880C6D4" w14:textId="77777777" w:rsidR="002E4BB0" w:rsidRPr="00ED1475" w:rsidRDefault="002E4BB0" w:rsidP="007362CD">
            <w:pPr>
              <w:jc w:val="center"/>
              <w:rPr>
                <w:rFonts w:cstheme="minorHAnsi"/>
              </w:rPr>
            </w:pPr>
          </w:p>
          <w:p w14:paraId="5F5899BE" w14:textId="77777777" w:rsidR="002E4BB0" w:rsidRPr="00ED1475" w:rsidRDefault="002E4BB0" w:rsidP="007362CD">
            <w:pPr>
              <w:jc w:val="center"/>
              <w:rPr>
                <w:rFonts w:cstheme="minorHAnsi"/>
              </w:rPr>
            </w:pPr>
            <w:r w:rsidRPr="00ED1475">
              <w:rPr>
                <w:rFonts w:cstheme="minorHAnsi"/>
              </w:rPr>
              <w:t>50%</w:t>
            </w:r>
          </w:p>
        </w:tc>
      </w:tr>
      <w:tr w:rsidR="002E4BB0" w:rsidRPr="00ED1475" w14:paraId="674A12C8" w14:textId="77777777" w:rsidTr="002E4BB0">
        <w:trPr>
          <w:trHeight w:val="705"/>
        </w:trPr>
        <w:tc>
          <w:tcPr>
            <w:tcW w:w="1623" w:type="dxa"/>
            <w:vMerge/>
            <w:tcBorders>
              <w:left w:val="double" w:sz="4" w:space="0" w:color="auto"/>
            </w:tcBorders>
          </w:tcPr>
          <w:p w14:paraId="080CF905" w14:textId="77777777" w:rsidR="002E4BB0" w:rsidRPr="00ED1475" w:rsidRDefault="002E4BB0" w:rsidP="007362CD">
            <w:pPr>
              <w:jc w:val="both"/>
              <w:rPr>
                <w:rFonts w:cstheme="minorHAnsi"/>
              </w:rPr>
            </w:pPr>
          </w:p>
        </w:tc>
        <w:tc>
          <w:tcPr>
            <w:tcW w:w="1745" w:type="dxa"/>
          </w:tcPr>
          <w:p w14:paraId="74B9F6C0" w14:textId="77777777" w:rsidR="002E4BB0" w:rsidRPr="00ED1475" w:rsidRDefault="002E4BB0" w:rsidP="007362CD">
            <w:pPr>
              <w:pStyle w:val="Default"/>
              <w:rPr>
                <w:rFonts w:asciiTheme="minorHAnsi" w:hAnsiTheme="minorHAnsi" w:cstheme="minorHAnsi"/>
                <w:sz w:val="22"/>
                <w:szCs w:val="22"/>
              </w:rPr>
            </w:pPr>
          </w:p>
          <w:p w14:paraId="1D3C1DF6" w14:textId="77777777" w:rsidR="002E4BB0" w:rsidRPr="00ED1475" w:rsidRDefault="002E4BB0" w:rsidP="007362CD">
            <w:pPr>
              <w:pStyle w:val="Default"/>
              <w:rPr>
                <w:rFonts w:asciiTheme="minorHAnsi" w:hAnsiTheme="minorHAnsi" w:cstheme="minorHAnsi"/>
                <w:sz w:val="22"/>
                <w:szCs w:val="22"/>
              </w:rPr>
            </w:pPr>
            <w:proofErr w:type="spellStart"/>
            <w:r w:rsidRPr="00ED1475">
              <w:rPr>
                <w:rFonts w:asciiTheme="minorHAnsi" w:hAnsiTheme="minorHAnsi" w:cstheme="minorHAnsi"/>
                <w:sz w:val="22"/>
                <w:szCs w:val="22"/>
              </w:rPr>
              <w:t>Δυτικός</w:t>
            </w:r>
            <w:proofErr w:type="spellEnd"/>
            <w:r w:rsidRPr="00ED1475">
              <w:rPr>
                <w:rFonts w:asciiTheme="minorHAnsi" w:hAnsiTheme="minorHAnsi" w:cstheme="minorHAnsi"/>
                <w:sz w:val="22"/>
                <w:szCs w:val="22"/>
              </w:rPr>
              <w:t xml:space="preserve"> </w:t>
            </w:r>
            <w:proofErr w:type="spellStart"/>
            <w:r w:rsidRPr="00ED1475">
              <w:rPr>
                <w:rFonts w:asciiTheme="minorHAnsi" w:hAnsiTheme="minorHAnsi" w:cstheme="minorHAnsi"/>
                <w:sz w:val="22"/>
                <w:szCs w:val="22"/>
              </w:rPr>
              <w:t>Τομέ</w:t>
            </w:r>
            <w:proofErr w:type="spellEnd"/>
            <w:r w:rsidRPr="00ED1475">
              <w:rPr>
                <w:rFonts w:asciiTheme="minorHAnsi" w:hAnsiTheme="minorHAnsi" w:cstheme="minorHAnsi"/>
                <w:sz w:val="22"/>
                <w:szCs w:val="22"/>
              </w:rPr>
              <w:t xml:space="preserve">ας </w:t>
            </w:r>
            <w:proofErr w:type="spellStart"/>
            <w:r w:rsidRPr="00ED1475">
              <w:rPr>
                <w:rFonts w:asciiTheme="minorHAnsi" w:hAnsiTheme="minorHAnsi" w:cstheme="minorHAnsi"/>
                <w:sz w:val="22"/>
                <w:szCs w:val="22"/>
              </w:rPr>
              <w:t>Αθηνών</w:t>
            </w:r>
            <w:proofErr w:type="spellEnd"/>
          </w:p>
        </w:tc>
        <w:tc>
          <w:tcPr>
            <w:tcW w:w="1375" w:type="dxa"/>
          </w:tcPr>
          <w:p w14:paraId="265623BC" w14:textId="77777777" w:rsidR="002E4BB0" w:rsidRPr="00ED1475" w:rsidRDefault="002E4BB0" w:rsidP="007362CD">
            <w:pPr>
              <w:jc w:val="center"/>
              <w:rPr>
                <w:rFonts w:cstheme="minorHAnsi"/>
              </w:rPr>
            </w:pPr>
          </w:p>
          <w:p w14:paraId="51A5B412" w14:textId="77777777" w:rsidR="002E4BB0" w:rsidRPr="00ED1475" w:rsidRDefault="002E4BB0" w:rsidP="007362CD">
            <w:pPr>
              <w:jc w:val="center"/>
              <w:rPr>
                <w:rFonts w:cstheme="minorHAnsi"/>
              </w:rPr>
            </w:pPr>
            <w:r w:rsidRPr="00ED1475">
              <w:rPr>
                <w:rFonts w:cstheme="minorHAnsi"/>
              </w:rPr>
              <w:t>25%</w:t>
            </w:r>
          </w:p>
        </w:tc>
        <w:tc>
          <w:tcPr>
            <w:tcW w:w="1287" w:type="dxa"/>
          </w:tcPr>
          <w:p w14:paraId="5CF9E909" w14:textId="77777777" w:rsidR="002E4BB0" w:rsidRPr="00ED1475" w:rsidRDefault="002E4BB0" w:rsidP="007362CD">
            <w:pPr>
              <w:jc w:val="center"/>
              <w:rPr>
                <w:rFonts w:cstheme="minorHAnsi"/>
              </w:rPr>
            </w:pPr>
          </w:p>
          <w:p w14:paraId="7A6DD795" w14:textId="77777777" w:rsidR="002E4BB0" w:rsidRPr="00ED1475" w:rsidRDefault="002E4BB0" w:rsidP="007362CD">
            <w:pPr>
              <w:jc w:val="center"/>
              <w:rPr>
                <w:rFonts w:cstheme="minorHAnsi"/>
              </w:rPr>
            </w:pPr>
            <w:r w:rsidRPr="00ED1475">
              <w:rPr>
                <w:rFonts w:cstheme="minorHAnsi"/>
              </w:rPr>
              <w:t>35%</w:t>
            </w:r>
          </w:p>
        </w:tc>
        <w:tc>
          <w:tcPr>
            <w:tcW w:w="1254" w:type="dxa"/>
          </w:tcPr>
          <w:p w14:paraId="62F45CBF" w14:textId="77777777" w:rsidR="002E4BB0" w:rsidRPr="00ED1475" w:rsidRDefault="002E4BB0" w:rsidP="007362CD">
            <w:pPr>
              <w:jc w:val="center"/>
              <w:rPr>
                <w:rFonts w:cstheme="minorHAnsi"/>
              </w:rPr>
            </w:pPr>
          </w:p>
          <w:p w14:paraId="539701B3" w14:textId="77777777" w:rsidR="002E4BB0" w:rsidRPr="00ED1475" w:rsidRDefault="002E4BB0" w:rsidP="007362CD">
            <w:pPr>
              <w:jc w:val="center"/>
              <w:rPr>
                <w:rFonts w:cstheme="minorHAnsi"/>
              </w:rPr>
            </w:pPr>
            <w:r w:rsidRPr="00ED1475">
              <w:rPr>
                <w:rFonts w:cstheme="minorHAnsi"/>
              </w:rPr>
              <w:t>75%</w:t>
            </w:r>
          </w:p>
        </w:tc>
        <w:tc>
          <w:tcPr>
            <w:tcW w:w="933" w:type="dxa"/>
            <w:tcBorders>
              <w:right w:val="double" w:sz="4" w:space="0" w:color="auto"/>
            </w:tcBorders>
          </w:tcPr>
          <w:p w14:paraId="63290299" w14:textId="77777777" w:rsidR="002E4BB0" w:rsidRPr="00ED1475" w:rsidRDefault="002E4BB0" w:rsidP="007362CD">
            <w:pPr>
              <w:jc w:val="center"/>
              <w:rPr>
                <w:rFonts w:cstheme="minorHAnsi"/>
              </w:rPr>
            </w:pPr>
          </w:p>
          <w:p w14:paraId="375587DE" w14:textId="77777777" w:rsidR="002E4BB0" w:rsidRPr="00ED1475" w:rsidRDefault="002E4BB0" w:rsidP="007362CD">
            <w:pPr>
              <w:jc w:val="center"/>
              <w:rPr>
                <w:rFonts w:cstheme="minorHAnsi"/>
              </w:rPr>
            </w:pPr>
            <w:r w:rsidRPr="00ED1475">
              <w:rPr>
                <w:rFonts w:cstheme="minorHAnsi"/>
              </w:rPr>
              <w:t>65%</w:t>
            </w:r>
          </w:p>
        </w:tc>
      </w:tr>
      <w:tr w:rsidR="002E4BB0" w:rsidRPr="00ED1475" w14:paraId="04228F37" w14:textId="77777777" w:rsidTr="002E4BB0">
        <w:trPr>
          <w:trHeight w:val="545"/>
        </w:trPr>
        <w:tc>
          <w:tcPr>
            <w:tcW w:w="1623" w:type="dxa"/>
            <w:vMerge/>
            <w:tcBorders>
              <w:left w:val="double" w:sz="4" w:space="0" w:color="auto"/>
            </w:tcBorders>
          </w:tcPr>
          <w:p w14:paraId="1FBF7945" w14:textId="77777777" w:rsidR="002E4BB0" w:rsidRPr="00ED1475" w:rsidRDefault="002E4BB0" w:rsidP="007362CD">
            <w:pPr>
              <w:jc w:val="both"/>
              <w:rPr>
                <w:rFonts w:cstheme="minorHAnsi"/>
              </w:rPr>
            </w:pPr>
          </w:p>
        </w:tc>
        <w:tc>
          <w:tcPr>
            <w:tcW w:w="1745" w:type="dxa"/>
          </w:tcPr>
          <w:p w14:paraId="0F9C1427" w14:textId="77777777" w:rsidR="002E4BB0" w:rsidRPr="00ED1475" w:rsidRDefault="002E4BB0" w:rsidP="007362CD">
            <w:pPr>
              <w:pStyle w:val="Default"/>
              <w:rPr>
                <w:rFonts w:asciiTheme="minorHAnsi" w:hAnsiTheme="minorHAnsi" w:cstheme="minorHAnsi"/>
                <w:sz w:val="22"/>
                <w:szCs w:val="22"/>
              </w:rPr>
            </w:pPr>
          </w:p>
          <w:p w14:paraId="71BDC59A" w14:textId="77777777" w:rsidR="002E4BB0" w:rsidRPr="00ED1475" w:rsidRDefault="002E4BB0" w:rsidP="007362CD">
            <w:pPr>
              <w:pStyle w:val="Default"/>
              <w:rPr>
                <w:rFonts w:asciiTheme="minorHAnsi" w:hAnsiTheme="minorHAnsi" w:cstheme="minorHAnsi"/>
                <w:sz w:val="22"/>
                <w:szCs w:val="22"/>
              </w:rPr>
            </w:pPr>
            <w:proofErr w:type="spellStart"/>
            <w:r w:rsidRPr="00ED1475">
              <w:rPr>
                <w:rFonts w:asciiTheme="minorHAnsi" w:hAnsiTheme="minorHAnsi" w:cstheme="minorHAnsi"/>
                <w:sz w:val="22"/>
                <w:szCs w:val="22"/>
              </w:rPr>
              <w:t>Αν</w:t>
            </w:r>
            <w:proofErr w:type="spellEnd"/>
            <w:r w:rsidRPr="00ED1475">
              <w:rPr>
                <w:rFonts w:asciiTheme="minorHAnsi" w:hAnsiTheme="minorHAnsi" w:cstheme="minorHAnsi"/>
                <w:sz w:val="22"/>
                <w:szCs w:val="22"/>
              </w:rPr>
              <w:t xml:space="preserve">ατολική </w:t>
            </w:r>
            <w:proofErr w:type="spellStart"/>
            <w:r w:rsidRPr="00ED1475">
              <w:rPr>
                <w:rFonts w:asciiTheme="minorHAnsi" w:hAnsiTheme="minorHAnsi" w:cstheme="minorHAnsi"/>
                <w:sz w:val="22"/>
                <w:szCs w:val="22"/>
              </w:rPr>
              <w:t>Αττική</w:t>
            </w:r>
            <w:proofErr w:type="spellEnd"/>
            <w:r w:rsidRPr="00ED1475">
              <w:rPr>
                <w:rFonts w:asciiTheme="minorHAnsi" w:hAnsiTheme="minorHAnsi" w:cstheme="minorHAnsi"/>
                <w:sz w:val="22"/>
                <w:szCs w:val="22"/>
              </w:rPr>
              <w:t xml:space="preserve"> </w:t>
            </w:r>
          </w:p>
        </w:tc>
        <w:tc>
          <w:tcPr>
            <w:tcW w:w="1375" w:type="dxa"/>
          </w:tcPr>
          <w:p w14:paraId="18528FF2" w14:textId="77777777" w:rsidR="002E4BB0" w:rsidRPr="00ED1475" w:rsidRDefault="002E4BB0" w:rsidP="007362CD">
            <w:pPr>
              <w:jc w:val="center"/>
              <w:rPr>
                <w:rFonts w:cstheme="minorHAnsi"/>
              </w:rPr>
            </w:pPr>
          </w:p>
          <w:p w14:paraId="3268F914" w14:textId="77777777" w:rsidR="002E4BB0" w:rsidRPr="00ED1475" w:rsidRDefault="002E4BB0" w:rsidP="007362CD">
            <w:pPr>
              <w:jc w:val="center"/>
              <w:rPr>
                <w:rFonts w:cstheme="minorHAnsi"/>
              </w:rPr>
            </w:pPr>
            <w:r w:rsidRPr="00ED1475">
              <w:rPr>
                <w:rFonts w:cstheme="minorHAnsi"/>
              </w:rPr>
              <w:t>35%</w:t>
            </w:r>
          </w:p>
        </w:tc>
        <w:tc>
          <w:tcPr>
            <w:tcW w:w="1287" w:type="dxa"/>
          </w:tcPr>
          <w:p w14:paraId="002836A8" w14:textId="77777777" w:rsidR="002E4BB0" w:rsidRPr="00ED1475" w:rsidRDefault="002E4BB0" w:rsidP="007362CD">
            <w:pPr>
              <w:jc w:val="center"/>
              <w:rPr>
                <w:rFonts w:cstheme="minorHAnsi"/>
              </w:rPr>
            </w:pPr>
          </w:p>
          <w:p w14:paraId="21C57BF6" w14:textId="77777777" w:rsidR="002E4BB0" w:rsidRPr="00ED1475" w:rsidRDefault="002E4BB0" w:rsidP="007362CD">
            <w:pPr>
              <w:jc w:val="center"/>
              <w:rPr>
                <w:rFonts w:cstheme="minorHAnsi"/>
              </w:rPr>
            </w:pPr>
            <w:r w:rsidRPr="00ED1475">
              <w:rPr>
                <w:rFonts w:cstheme="minorHAnsi"/>
              </w:rPr>
              <w:t>45%</w:t>
            </w:r>
          </w:p>
        </w:tc>
        <w:tc>
          <w:tcPr>
            <w:tcW w:w="1254" w:type="dxa"/>
          </w:tcPr>
          <w:p w14:paraId="3031574C" w14:textId="77777777" w:rsidR="002E4BB0" w:rsidRPr="00ED1475" w:rsidRDefault="002E4BB0" w:rsidP="007362CD">
            <w:pPr>
              <w:jc w:val="center"/>
              <w:rPr>
                <w:rFonts w:cstheme="minorHAnsi"/>
              </w:rPr>
            </w:pPr>
          </w:p>
          <w:p w14:paraId="6FEED90C" w14:textId="77777777" w:rsidR="002E4BB0" w:rsidRPr="00ED1475" w:rsidRDefault="002E4BB0" w:rsidP="007362CD">
            <w:pPr>
              <w:jc w:val="center"/>
              <w:rPr>
                <w:rFonts w:cstheme="minorHAnsi"/>
              </w:rPr>
            </w:pPr>
            <w:r w:rsidRPr="00ED1475">
              <w:rPr>
                <w:rFonts w:cstheme="minorHAnsi"/>
              </w:rPr>
              <w:t>65%</w:t>
            </w:r>
          </w:p>
        </w:tc>
        <w:tc>
          <w:tcPr>
            <w:tcW w:w="933" w:type="dxa"/>
            <w:tcBorders>
              <w:right w:val="double" w:sz="4" w:space="0" w:color="auto"/>
            </w:tcBorders>
          </w:tcPr>
          <w:p w14:paraId="3909846A" w14:textId="77777777" w:rsidR="002E4BB0" w:rsidRPr="00ED1475" w:rsidRDefault="002E4BB0" w:rsidP="007362CD">
            <w:pPr>
              <w:jc w:val="center"/>
              <w:rPr>
                <w:rFonts w:cstheme="minorHAnsi"/>
              </w:rPr>
            </w:pPr>
          </w:p>
          <w:p w14:paraId="3D29B571" w14:textId="77777777" w:rsidR="002E4BB0" w:rsidRPr="00ED1475" w:rsidRDefault="002E4BB0" w:rsidP="007362CD">
            <w:pPr>
              <w:jc w:val="center"/>
              <w:rPr>
                <w:rFonts w:cstheme="minorHAnsi"/>
              </w:rPr>
            </w:pPr>
            <w:r w:rsidRPr="00ED1475">
              <w:rPr>
                <w:rFonts w:cstheme="minorHAnsi"/>
              </w:rPr>
              <w:t>55%</w:t>
            </w:r>
          </w:p>
        </w:tc>
      </w:tr>
      <w:tr w:rsidR="002E4BB0" w:rsidRPr="00ED1475" w14:paraId="2F4F63D0" w14:textId="77777777" w:rsidTr="002E4BB0">
        <w:trPr>
          <w:trHeight w:val="411"/>
        </w:trPr>
        <w:tc>
          <w:tcPr>
            <w:tcW w:w="1623" w:type="dxa"/>
            <w:vMerge/>
            <w:tcBorders>
              <w:left w:val="double" w:sz="4" w:space="0" w:color="auto"/>
            </w:tcBorders>
          </w:tcPr>
          <w:p w14:paraId="3CDCD851" w14:textId="77777777" w:rsidR="002E4BB0" w:rsidRPr="00ED1475" w:rsidRDefault="002E4BB0" w:rsidP="007362CD">
            <w:pPr>
              <w:jc w:val="both"/>
              <w:rPr>
                <w:rFonts w:cstheme="minorHAnsi"/>
              </w:rPr>
            </w:pPr>
          </w:p>
        </w:tc>
        <w:tc>
          <w:tcPr>
            <w:tcW w:w="1745" w:type="dxa"/>
          </w:tcPr>
          <w:p w14:paraId="7F63831F" w14:textId="77777777" w:rsidR="002E4BB0" w:rsidRPr="00ED1475" w:rsidRDefault="002E4BB0" w:rsidP="007362CD">
            <w:pPr>
              <w:pStyle w:val="Default"/>
              <w:rPr>
                <w:rFonts w:asciiTheme="minorHAnsi" w:hAnsiTheme="minorHAnsi" w:cstheme="minorHAnsi"/>
                <w:sz w:val="22"/>
                <w:szCs w:val="22"/>
              </w:rPr>
            </w:pPr>
          </w:p>
          <w:p w14:paraId="27AA4B74" w14:textId="77777777" w:rsidR="002E4BB0" w:rsidRPr="00ED1475" w:rsidRDefault="002E4BB0" w:rsidP="007362CD">
            <w:pPr>
              <w:pStyle w:val="Default"/>
              <w:rPr>
                <w:rFonts w:asciiTheme="minorHAnsi" w:hAnsiTheme="minorHAnsi" w:cstheme="minorHAnsi"/>
                <w:sz w:val="22"/>
                <w:szCs w:val="22"/>
              </w:rPr>
            </w:pPr>
            <w:proofErr w:type="spellStart"/>
            <w:r w:rsidRPr="00ED1475">
              <w:rPr>
                <w:rFonts w:asciiTheme="minorHAnsi" w:hAnsiTheme="minorHAnsi" w:cstheme="minorHAnsi"/>
                <w:sz w:val="22"/>
                <w:szCs w:val="22"/>
              </w:rPr>
              <w:t>Δυτική</w:t>
            </w:r>
            <w:proofErr w:type="spellEnd"/>
            <w:r w:rsidRPr="00ED1475">
              <w:rPr>
                <w:rFonts w:asciiTheme="minorHAnsi" w:hAnsiTheme="minorHAnsi" w:cstheme="minorHAnsi"/>
                <w:sz w:val="22"/>
                <w:szCs w:val="22"/>
              </w:rPr>
              <w:t xml:space="preserve"> </w:t>
            </w:r>
            <w:proofErr w:type="spellStart"/>
            <w:r w:rsidRPr="00ED1475">
              <w:rPr>
                <w:rFonts w:asciiTheme="minorHAnsi" w:hAnsiTheme="minorHAnsi" w:cstheme="minorHAnsi"/>
                <w:sz w:val="22"/>
                <w:szCs w:val="22"/>
              </w:rPr>
              <w:t>Αττική</w:t>
            </w:r>
            <w:proofErr w:type="spellEnd"/>
          </w:p>
        </w:tc>
        <w:tc>
          <w:tcPr>
            <w:tcW w:w="1375" w:type="dxa"/>
          </w:tcPr>
          <w:p w14:paraId="4B1D591D" w14:textId="77777777" w:rsidR="002E4BB0" w:rsidRPr="00ED1475" w:rsidRDefault="002E4BB0" w:rsidP="007362CD">
            <w:pPr>
              <w:jc w:val="center"/>
              <w:rPr>
                <w:rFonts w:cstheme="minorHAnsi"/>
              </w:rPr>
            </w:pPr>
          </w:p>
          <w:p w14:paraId="3FF07B50" w14:textId="77777777" w:rsidR="002E4BB0" w:rsidRPr="00ED1475" w:rsidRDefault="002E4BB0" w:rsidP="007362CD">
            <w:pPr>
              <w:jc w:val="center"/>
              <w:rPr>
                <w:rFonts w:cstheme="minorHAnsi"/>
              </w:rPr>
            </w:pPr>
            <w:r w:rsidRPr="00ED1475">
              <w:rPr>
                <w:rFonts w:cstheme="minorHAnsi"/>
              </w:rPr>
              <w:t>35%</w:t>
            </w:r>
          </w:p>
        </w:tc>
        <w:tc>
          <w:tcPr>
            <w:tcW w:w="1287" w:type="dxa"/>
          </w:tcPr>
          <w:p w14:paraId="07B7745F" w14:textId="77777777" w:rsidR="002E4BB0" w:rsidRPr="00ED1475" w:rsidRDefault="002E4BB0" w:rsidP="007362CD">
            <w:pPr>
              <w:jc w:val="center"/>
              <w:rPr>
                <w:rFonts w:cstheme="minorHAnsi"/>
              </w:rPr>
            </w:pPr>
          </w:p>
          <w:p w14:paraId="23F81EDB" w14:textId="77777777" w:rsidR="002E4BB0" w:rsidRPr="00ED1475" w:rsidRDefault="002E4BB0" w:rsidP="007362CD">
            <w:pPr>
              <w:jc w:val="center"/>
              <w:rPr>
                <w:rFonts w:cstheme="minorHAnsi"/>
              </w:rPr>
            </w:pPr>
            <w:r w:rsidRPr="00ED1475">
              <w:rPr>
                <w:rFonts w:cstheme="minorHAnsi"/>
              </w:rPr>
              <w:t>45%</w:t>
            </w:r>
          </w:p>
        </w:tc>
        <w:tc>
          <w:tcPr>
            <w:tcW w:w="1254" w:type="dxa"/>
          </w:tcPr>
          <w:p w14:paraId="00C46FD5" w14:textId="77777777" w:rsidR="002E4BB0" w:rsidRPr="00ED1475" w:rsidRDefault="002E4BB0" w:rsidP="007362CD">
            <w:pPr>
              <w:jc w:val="center"/>
              <w:rPr>
                <w:rFonts w:cstheme="minorHAnsi"/>
              </w:rPr>
            </w:pPr>
          </w:p>
          <w:p w14:paraId="0B0301AB" w14:textId="77777777" w:rsidR="002E4BB0" w:rsidRPr="00ED1475" w:rsidRDefault="002E4BB0" w:rsidP="007362CD">
            <w:pPr>
              <w:jc w:val="center"/>
              <w:rPr>
                <w:rFonts w:cstheme="minorHAnsi"/>
              </w:rPr>
            </w:pPr>
            <w:r w:rsidRPr="00ED1475">
              <w:rPr>
                <w:rFonts w:cstheme="minorHAnsi"/>
              </w:rPr>
              <w:t>65%</w:t>
            </w:r>
          </w:p>
        </w:tc>
        <w:tc>
          <w:tcPr>
            <w:tcW w:w="933" w:type="dxa"/>
            <w:tcBorders>
              <w:right w:val="double" w:sz="4" w:space="0" w:color="auto"/>
            </w:tcBorders>
          </w:tcPr>
          <w:p w14:paraId="0D63B4F2" w14:textId="77777777" w:rsidR="002E4BB0" w:rsidRPr="00ED1475" w:rsidRDefault="002E4BB0" w:rsidP="007362CD">
            <w:pPr>
              <w:jc w:val="center"/>
              <w:rPr>
                <w:rFonts w:cstheme="minorHAnsi"/>
              </w:rPr>
            </w:pPr>
          </w:p>
          <w:p w14:paraId="45217341" w14:textId="77777777" w:rsidR="002E4BB0" w:rsidRPr="00ED1475" w:rsidRDefault="002E4BB0" w:rsidP="007362CD">
            <w:pPr>
              <w:jc w:val="center"/>
              <w:rPr>
                <w:rFonts w:cstheme="minorHAnsi"/>
              </w:rPr>
            </w:pPr>
            <w:r w:rsidRPr="00ED1475">
              <w:rPr>
                <w:rFonts w:cstheme="minorHAnsi"/>
              </w:rPr>
              <w:t>55%</w:t>
            </w:r>
          </w:p>
        </w:tc>
      </w:tr>
      <w:tr w:rsidR="002E4BB0" w:rsidRPr="00ED1475" w14:paraId="372C9774" w14:textId="77777777" w:rsidTr="002E4BB0">
        <w:trPr>
          <w:trHeight w:val="417"/>
        </w:trPr>
        <w:tc>
          <w:tcPr>
            <w:tcW w:w="1623" w:type="dxa"/>
            <w:vMerge/>
            <w:tcBorders>
              <w:left w:val="double" w:sz="4" w:space="0" w:color="auto"/>
              <w:bottom w:val="double" w:sz="4" w:space="0" w:color="auto"/>
            </w:tcBorders>
          </w:tcPr>
          <w:p w14:paraId="13B4E09B" w14:textId="77777777" w:rsidR="002E4BB0" w:rsidRPr="00ED1475" w:rsidRDefault="002E4BB0" w:rsidP="007362CD">
            <w:pPr>
              <w:jc w:val="both"/>
              <w:rPr>
                <w:rFonts w:cstheme="minorHAnsi"/>
              </w:rPr>
            </w:pPr>
          </w:p>
        </w:tc>
        <w:tc>
          <w:tcPr>
            <w:tcW w:w="1745" w:type="dxa"/>
          </w:tcPr>
          <w:p w14:paraId="1D195D12" w14:textId="77777777" w:rsidR="002E4BB0" w:rsidRPr="00ED1475" w:rsidRDefault="002E4BB0" w:rsidP="007362CD">
            <w:pPr>
              <w:pStyle w:val="Default"/>
              <w:rPr>
                <w:rFonts w:asciiTheme="minorHAnsi" w:hAnsiTheme="minorHAnsi" w:cstheme="minorHAnsi"/>
                <w:sz w:val="22"/>
                <w:szCs w:val="22"/>
              </w:rPr>
            </w:pPr>
          </w:p>
          <w:p w14:paraId="71144F4E" w14:textId="77777777" w:rsidR="002E4BB0" w:rsidRPr="00ED1475" w:rsidRDefault="002E4BB0" w:rsidP="007362CD">
            <w:pPr>
              <w:pStyle w:val="Default"/>
              <w:rPr>
                <w:rFonts w:asciiTheme="minorHAnsi" w:hAnsiTheme="minorHAnsi" w:cstheme="minorHAnsi"/>
                <w:sz w:val="22"/>
                <w:szCs w:val="22"/>
              </w:rPr>
            </w:pPr>
            <w:proofErr w:type="spellStart"/>
            <w:r w:rsidRPr="00ED1475">
              <w:rPr>
                <w:rFonts w:asciiTheme="minorHAnsi" w:hAnsiTheme="minorHAnsi" w:cstheme="minorHAnsi"/>
                <w:sz w:val="22"/>
                <w:szCs w:val="22"/>
              </w:rPr>
              <w:t>Πειρ</w:t>
            </w:r>
            <w:proofErr w:type="spellEnd"/>
            <w:r w:rsidRPr="00ED1475">
              <w:rPr>
                <w:rFonts w:asciiTheme="minorHAnsi" w:hAnsiTheme="minorHAnsi" w:cstheme="minorHAnsi"/>
                <w:sz w:val="22"/>
                <w:szCs w:val="22"/>
              </w:rPr>
              <w:t xml:space="preserve">αιάς, </w:t>
            </w:r>
            <w:proofErr w:type="spellStart"/>
            <w:r w:rsidRPr="00ED1475">
              <w:rPr>
                <w:rFonts w:asciiTheme="minorHAnsi" w:hAnsiTheme="minorHAnsi" w:cstheme="minorHAnsi"/>
                <w:sz w:val="22"/>
                <w:szCs w:val="22"/>
              </w:rPr>
              <w:t>Νήσοι</w:t>
            </w:r>
            <w:proofErr w:type="spellEnd"/>
          </w:p>
        </w:tc>
        <w:tc>
          <w:tcPr>
            <w:tcW w:w="1375" w:type="dxa"/>
          </w:tcPr>
          <w:p w14:paraId="33336663" w14:textId="77777777" w:rsidR="002E4BB0" w:rsidRPr="00ED1475" w:rsidRDefault="002E4BB0" w:rsidP="007362CD">
            <w:pPr>
              <w:jc w:val="center"/>
              <w:rPr>
                <w:rFonts w:cstheme="minorHAnsi"/>
              </w:rPr>
            </w:pPr>
          </w:p>
          <w:p w14:paraId="55EBB1F7" w14:textId="77777777" w:rsidR="002E4BB0" w:rsidRPr="00ED1475" w:rsidRDefault="002E4BB0" w:rsidP="007362CD">
            <w:pPr>
              <w:jc w:val="center"/>
              <w:rPr>
                <w:rFonts w:cstheme="minorHAnsi"/>
              </w:rPr>
            </w:pPr>
            <w:r w:rsidRPr="00ED1475">
              <w:rPr>
                <w:rFonts w:cstheme="minorHAnsi"/>
              </w:rPr>
              <w:t>35%</w:t>
            </w:r>
          </w:p>
        </w:tc>
        <w:tc>
          <w:tcPr>
            <w:tcW w:w="1287" w:type="dxa"/>
          </w:tcPr>
          <w:p w14:paraId="4E172DF1" w14:textId="77777777" w:rsidR="002E4BB0" w:rsidRPr="00ED1475" w:rsidRDefault="002E4BB0" w:rsidP="007362CD">
            <w:pPr>
              <w:jc w:val="center"/>
              <w:rPr>
                <w:rFonts w:cstheme="minorHAnsi"/>
              </w:rPr>
            </w:pPr>
          </w:p>
          <w:p w14:paraId="6A4A4EE4" w14:textId="77777777" w:rsidR="002E4BB0" w:rsidRPr="00ED1475" w:rsidRDefault="002E4BB0" w:rsidP="007362CD">
            <w:pPr>
              <w:jc w:val="center"/>
              <w:rPr>
                <w:rFonts w:cstheme="minorHAnsi"/>
              </w:rPr>
            </w:pPr>
            <w:r w:rsidRPr="00ED1475">
              <w:rPr>
                <w:rFonts w:cstheme="minorHAnsi"/>
              </w:rPr>
              <w:t>45%</w:t>
            </w:r>
          </w:p>
        </w:tc>
        <w:tc>
          <w:tcPr>
            <w:tcW w:w="1254" w:type="dxa"/>
          </w:tcPr>
          <w:p w14:paraId="3FC16096" w14:textId="77777777" w:rsidR="002E4BB0" w:rsidRPr="00ED1475" w:rsidRDefault="002E4BB0" w:rsidP="007362CD">
            <w:pPr>
              <w:jc w:val="center"/>
              <w:rPr>
                <w:rFonts w:cstheme="minorHAnsi"/>
              </w:rPr>
            </w:pPr>
          </w:p>
          <w:p w14:paraId="78A33993" w14:textId="77777777" w:rsidR="002E4BB0" w:rsidRPr="00ED1475" w:rsidRDefault="002E4BB0" w:rsidP="007362CD">
            <w:pPr>
              <w:jc w:val="center"/>
              <w:rPr>
                <w:rFonts w:cstheme="minorHAnsi"/>
              </w:rPr>
            </w:pPr>
            <w:r w:rsidRPr="00ED1475">
              <w:rPr>
                <w:rFonts w:cstheme="minorHAnsi"/>
              </w:rPr>
              <w:t>65%</w:t>
            </w:r>
          </w:p>
        </w:tc>
        <w:tc>
          <w:tcPr>
            <w:tcW w:w="933" w:type="dxa"/>
            <w:tcBorders>
              <w:right w:val="double" w:sz="4" w:space="0" w:color="auto"/>
            </w:tcBorders>
          </w:tcPr>
          <w:p w14:paraId="28E4A980" w14:textId="77777777" w:rsidR="002E4BB0" w:rsidRPr="00ED1475" w:rsidRDefault="002E4BB0" w:rsidP="007362CD">
            <w:pPr>
              <w:jc w:val="center"/>
              <w:rPr>
                <w:rFonts w:cstheme="minorHAnsi"/>
              </w:rPr>
            </w:pPr>
          </w:p>
          <w:p w14:paraId="674758F5" w14:textId="77777777" w:rsidR="002E4BB0" w:rsidRPr="00ED1475" w:rsidRDefault="002E4BB0" w:rsidP="007362CD">
            <w:pPr>
              <w:jc w:val="center"/>
              <w:rPr>
                <w:rFonts w:cstheme="minorHAnsi"/>
              </w:rPr>
            </w:pPr>
            <w:r w:rsidRPr="00ED1475">
              <w:rPr>
                <w:rFonts w:cstheme="minorHAnsi"/>
              </w:rPr>
              <w:t>55%</w:t>
            </w:r>
          </w:p>
        </w:tc>
      </w:tr>
      <w:tr w:rsidR="002E4BB0" w:rsidRPr="00ED1475" w14:paraId="7FA37859" w14:textId="77777777" w:rsidTr="002E4BB0">
        <w:trPr>
          <w:trHeight w:val="417"/>
        </w:trPr>
        <w:tc>
          <w:tcPr>
            <w:tcW w:w="1623" w:type="dxa"/>
            <w:tcBorders>
              <w:top w:val="double" w:sz="4" w:space="0" w:color="auto"/>
              <w:left w:val="double" w:sz="4" w:space="0" w:color="auto"/>
              <w:bottom w:val="double" w:sz="4" w:space="0" w:color="auto"/>
            </w:tcBorders>
          </w:tcPr>
          <w:p w14:paraId="44BB1EEC" w14:textId="77777777" w:rsidR="002E4BB0" w:rsidRPr="002E4BB0" w:rsidRDefault="002E4BB0" w:rsidP="007362CD">
            <w:pPr>
              <w:pStyle w:val="Default"/>
              <w:jc w:val="center"/>
              <w:rPr>
                <w:rFonts w:asciiTheme="minorHAnsi" w:hAnsiTheme="minorHAnsi" w:cstheme="minorHAnsi"/>
                <w:color w:val="auto"/>
                <w:sz w:val="22"/>
                <w:szCs w:val="22"/>
                <w:lang w:val="el-GR"/>
              </w:rPr>
            </w:pPr>
            <w:r w:rsidRPr="002E4BB0">
              <w:rPr>
                <w:rFonts w:asciiTheme="minorHAnsi" w:hAnsiTheme="minorHAnsi" w:cstheme="minorHAnsi"/>
                <w:color w:val="auto"/>
                <w:sz w:val="22"/>
                <w:szCs w:val="22"/>
                <w:lang w:val="el-GR"/>
              </w:rPr>
              <w:t>Επιλέξιμες Δαπάνες</w:t>
            </w:r>
          </w:p>
          <w:p w14:paraId="599E1F25" w14:textId="77777777" w:rsidR="002E4BB0" w:rsidRPr="00ED1475" w:rsidRDefault="002E4BB0" w:rsidP="007362CD">
            <w:pPr>
              <w:jc w:val="center"/>
              <w:rPr>
                <w:rFonts w:cstheme="minorHAnsi"/>
              </w:rPr>
            </w:pPr>
            <w:r w:rsidRPr="00ED1475">
              <w:rPr>
                <w:rFonts w:cstheme="minorHAnsi"/>
              </w:rPr>
              <w:t>(Σύμφωνα με το Άρθρο 18)</w:t>
            </w:r>
          </w:p>
        </w:tc>
        <w:tc>
          <w:tcPr>
            <w:tcW w:w="1745" w:type="dxa"/>
          </w:tcPr>
          <w:p w14:paraId="221DBF5C" w14:textId="77777777" w:rsidR="002E4BB0" w:rsidRPr="002E4BB0" w:rsidRDefault="002E4BB0" w:rsidP="007362CD">
            <w:pPr>
              <w:pStyle w:val="Default"/>
              <w:jc w:val="center"/>
              <w:rPr>
                <w:rFonts w:asciiTheme="minorHAnsi" w:hAnsiTheme="minorHAnsi" w:cstheme="minorHAnsi"/>
                <w:sz w:val="22"/>
                <w:szCs w:val="22"/>
                <w:lang w:val="el-GR"/>
              </w:rPr>
            </w:pPr>
          </w:p>
          <w:p w14:paraId="6A42FBFE" w14:textId="77777777" w:rsidR="002E4BB0" w:rsidRPr="00ED1475" w:rsidRDefault="002E4BB0" w:rsidP="007362CD">
            <w:pPr>
              <w:pStyle w:val="Default"/>
              <w:jc w:val="center"/>
              <w:rPr>
                <w:rFonts w:asciiTheme="minorHAnsi" w:hAnsiTheme="minorHAnsi" w:cstheme="minorHAnsi"/>
                <w:sz w:val="22"/>
                <w:szCs w:val="22"/>
              </w:rPr>
            </w:pPr>
            <w:proofErr w:type="spellStart"/>
            <w:r w:rsidRPr="00ED1475">
              <w:rPr>
                <w:rFonts w:asciiTheme="minorHAnsi" w:hAnsiTheme="minorHAnsi" w:cstheme="minorHAnsi"/>
                <w:sz w:val="22"/>
                <w:szCs w:val="22"/>
              </w:rPr>
              <w:t>Όλες</w:t>
            </w:r>
            <w:proofErr w:type="spellEnd"/>
            <w:r w:rsidRPr="00ED1475">
              <w:rPr>
                <w:rFonts w:asciiTheme="minorHAnsi" w:hAnsiTheme="minorHAnsi" w:cstheme="minorHAnsi"/>
                <w:sz w:val="22"/>
                <w:szCs w:val="22"/>
              </w:rPr>
              <w:t xml:space="preserve"> </w:t>
            </w:r>
            <w:proofErr w:type="spellStart"/>
            <w:r w:rsidRPr="00ED1475">
              <w:rPr>
                <w:rFonts w:asciiTheme="minorHAnsi" w:hAnsiTheme="minorHAnsi" w:cstheme="minorHAnsi"/>
                <w:sz w:val="22"/>
                <w:szCs w:val="22"/>
              </w:rPr>
              <w:t>οι</w:t>
            </w:r>
            <w:proofErr w:type="spellEnd"/>
            <w:r w:rsidRPr="00ED1475">
              <w:rPr>
                <w:rFonts w:asciiTheme="minorHAnsi" w:hAnsiTheme="minorHAnsi" w:cstheme="minorHAnsi"/>
                <w:sz w:val="22"/>
                <w:szCs w:val="22"/>
              </w:rPr>
              <w:t xml:space="preserve"> </w:t>
            </w:r>
            <w:proofErr w:type="spellStart"/>
            <w:r w:rsidRPr="00ED1475">
              <w:rPr>
                <w:rFonts w:asciiTheme="minorHAnsi" w:hAnsiTheme="minorHAnsi" w:cstheme="minorHAnsi"/>
                <w:sz w:val="22"/>
                <w:szCs w:val="22"/>
              </w:rPr>
              <w:t>Περιφέρεις</w:t>
            </w:r>
            <w:proofErr w:type="spellEnd"/>
          </w:p>
        </w:tc>
        <w:tc>
          <w:tcPr>
            <w:tcW w:w="1375" w:type="dxa"/>
          </w:tcPr>
          <w:p w14:paraId="26CA3BBB" w14:textId="77777777" w:rsidR="002E4BB0" w:rsidRPr="00ED1475" w:rsidRDefault="002E4BB0" w:rsidP="007362CD">
            <w:pPr>
              <w:jc w:val="center"/>
              <w:rPr>
                <w:rFonts w:cstheme="minorHAnsi"/>
              </w:rPr>
            </w:pPr>
          </w:p>
          <w:p w14:paraId="37624376" w14:textId="77777777" w:rsidR="002E4BB0" w:rsidRPr="00ED1475" w:rsidRDefault="002E4BB0" w:rsidP="007362CD">
            <w:pPr>
              <w:jc w:val="center"/>
              <w:rPr>
                <w:rFonts w:cstheme="minorHAnsi"/>
              </w:rPr>
            </w:pPr>
            <w:r w:rsidRPr="00ED1475">
              <w:rPr>
                <w:rFonts w:cstheme="minorHAnsi"/>
              </w:rPr>
              <w:t>50%</w:t>
            </w:r>
          </w:p>
        </w:tc>
        <w:tc>
          <w:tcPr>
            <w:tcW w:w="1287" w:type="dxa"/>
          </w:tcPr>
          <w:p w14:paraId="4FC2C721" w14:textId="77777777" w:rsidR="002E4BB0" w:rsidRPr="00ED1475" w:rsidRDefault="002E4BB0" w:rsidP="007362CD">
            <w:pPr>
              <w:jc w:val="center"/>
              <w:rPr>
                <w:rFonts w:cstheme="minorHAnsi"/>
              </w:rPr>
            </w:pPr>
          </w:p>
          <w:p w14:paraId="7E5E1ED7" w14:textId="77777777" w:rsidR="002E4BB0" w:rsidRPr="00ED1475" w:rsidRDefault="002E4BB0" w:rsidP="007362CD">
            <w:pPr>
              <w:jc w:val="center"/>
              <w:rPr>
                <w:rFonts w:cstheme="minorHAnsi"/>
              </w:rPr>
            </w:pPr>
            <w:r w:rsidRPr="00ED1475">
              <w:rPr>
                <w:rFonts w:cstheme="minorHAnsi"/>
              </w:rPr>
              <w:t>50%</w:t>
            </w:r>
          </w:p>
        </w:tc>
        <w:tc>
          <w:tcPr>
            <w:tcW w:w="1254" w:type="dxa"/>
          </w:tcPr>
          <w:p w14:paraId="7BD226D9" w14:textId="77777777" w:rsidR="002E4BB0" w:rsidRPr="00ED1475" w:rsidRDefault="002E4BB0" w:rsidP="007362CD">
            <w:pPr>
              <w:jc w:val="center"/>
              <w:rPr>
                <w:rFonts w:cstheme="minorHAnsi"/>
              </w:rPr>
            </w:pPr>
          </w:p>
          <w:p w14:paraId="48293FB4" w14:textId="77777777" w:rsidR="002E4BB0" w:rsidRPr="00ED1475" w:rsidRDefault="002E4BB0" w:rsidP="007362CD">
            <w:pPr>
              <w:jc w:val="center"/>
              <w:rPr>
                <w:rFonts w:cstheme="minorHAnsi"/>
              </w:rPr>
            </w:pPr>
            <w:r w:rsidRPr="00ED1475">
              <w:rPr>
                <w:rFonts w:cstheme="minorHAnsi"/>
              </w:rPr>
              <w:t>50%</w:t>
            </w:r>
          </w:p>
        </w:tc>
        <w:tc>
          <w:tcPr>
            <w:tcW w:w="933" w:type="dxa"/>
            <w:tcBorders>
              <w:right w:val="double" w:sz="4" w:space="0" w:color="auto"/>
            </w:tcBorders>
          </w:tcPr>
          <w:p w14:paraId="717DB361" w14:textId="77777777" w:rsidR="002E4BB0" w:rsidRPr="00ED1475" w:rsidRDefault="002E4BB0" w:rsidP="007362CD">
            <w:pPr>
              <w:jc w:val="center"/>
              <w:rPr>
                <w:rFonts w:cstheme="minorHAnsi"/>
              </w:rPr>
            </w:pPr>
          </w:p>
          <w:p w14:paraId="7E578C04" w14:textId="77777777" w:rsidR="002E4BB0" w:rsidRPr="00ED1475" w:rsidRDefault="002E4BB0" w:rsidP="007362CD">
            <w:pPr>
              <w:jc w:val="center"/>
              <w:rPr>
                <w:rFonts w:cstheme="minorHAnsi"/>
              </w:rPr>
            </w:pPr>
            <w:r w:rsidRPr="00ED1475">
              <w:rPr>
                <w:rFonts w:cstheme="minorHAnsi"/>
              </w:rPr>
              <w:t>50%</w:t>
            </w:r>
          </w:p>
        </w:tc>
      </w:tr>
      <w:tr w:rsidR="002E4BB0" w:rsidRPr="00ED1475" w14:paraId="00423187" w14:textId="77777777" w:rsidTr="002E4BB0">
        <w:trPr>
          <w:trHeight w:val="417"/>
        </w:trPr>
        <w:tc>
          <w:tcPr>
            <w:tcW w:w="1623" w:type="dxa"/>
            <w:vMerge w:val="restart"/>
            <w:tcBorders>
              <w:top w:val="double" w:sz="4" w:space="0" w:color="auto"/>
              <w:left w:val="double" w:sz="4" w:space="0" w:color="auto"/>
            </w:tcBorders>
          </w:tcPr>
          <w:p w14:paraId="3D4CFB1F" w14:textId="77777777" w:rsidR="002E4BB0" w:rsidRPr="002E4BB0" w:rsidRDefault="002E4BB0" w:rsidP="007362CD">
            <w:pPr>
              <w:pStyle w:val="Default"/>
              <w:jc w:val="center"/>
              <w:rPr>
                <w:rFonts w:asciiTheme="minorHAnsi" w:hAnsiTheme="minorHAnsi" w:cstheme="minorHAnsi"/>
                <w:sz w:val="22"/>
                <w:szCs w:val="22"/>
                <w:lang w:val="el-GR"/>
              </w:rPr>
            </w:pPr>
            <w:r w:rsidRPr="002E4BB0">
              <w:rPr>
                <w:rFonts w:asciiTheme="minorHAnsi" w:hAnsiTheme="minorHAnsi" w:cstheme="minorHAnsi"/>
                <w:sz w:val="22"/>
                <w:szCs w:val="22"/>
                <w:lang w:val="el-GR"/>
              </w:rPr>
              <w:t>Επιλέξιμες Δαπάνες</w:t>
            </w:r>
          </w:p>
          <w:p w14:paraId="4D4AB9CA" w14:textId="77777777" w:rsidR="002E4BB0" w:rsidRPr="002E4BB0" w:rsidRDefault="002E4BB0" w:rsidP="007362CD">
            <w:pPr>
              <w:pStyle w:val="Default"/>
              <w:jc w:val="center"/>
              <w:rPr>
                <w:rFonts w:asciiTheme="minorHAnsi" w:hAnsiTheme="minorHAnsi" w:cstheme="minorHAnsi"/>
                <w:color w:val="auto"/>
                <w:sz w:val="22"/>
                <w:szCs w:val="22"/>
                <w:lang w:val="el-GR"/>
              </w:rPr>
            </w:pPr>
            <w:r w:rsidRPr="002E4BB0">
              <w:rPr>
                <w:rFonts w:asciiTheme="minorHAnsi" w:hAnsiTheme="minorHAnsi" w:cstheme="minorHAnsi"/>
                <w:color w:val="auto"/>
                <w:sz w:val="22"/>
                <w:szCs w:val="22"/>
                <w:lang w:val="el-GR"/>
              </w:rPr>
              <w:t>(</w:t>
            </w:r>
            <w:r w:rsidRPr="002E4BB0">
              <w:rPr>
                <w:rFonts w:asciiTheme="minorHAnsi" w:hAnsiTheme="minorHAnsi" w:cstheme="minorHAnsi"/>
                <w:sz w:val="22"/>
                <w:szCs w:val="22"/>
                <w:lang w:val="el-GR"/>
              </w:rPr>
              <w:t>με βάση τον Κανονισμό Ε.Ε. 1407/2013 (</w:t>
            </w:r>
            <w:r w:rsidRPr="00ED1475">
              <w:rPr>
                <w:rFonts w:asciiTheme="minorHAnsi" w:hAnsiTheme="minorHAnsi" w:cstheme="minorHAnsi"/>
                <w:sz w:val="22"/>
                <w:szCs w:val="22"/>
              </w:rPr>
              <w:t>De</w:t>
            </w:r>
            <w:r w:rsidRPr="002E4BB0">
              <w:rPr>
                <w:rFonts w:asciiTheme="minorHAnsi" w:hAnsiTheme="minorHAnsi" w:cstheme="minorHAnsi"/>
                <w:sz w:val="22"/>
                <w:szCs w:val="22"/>
                <w:lang w:val="el-GR"/>
              </w:rPr>
              <w:t xml:space="preserve"> </w:t>
            </w:r>
            <w:r w:rsidRPr="00ED1475">
              <w:rPr>
                <w:rFonts w:asciiTheme="minorHAnsi" w:hAnsiTheme="minorHAnsi" w:cstheme="minorHAnsi"/>
                <w:sz w:val="22"/>
                <w:szCs w:val="22"/>
              </w:rPr>
              <w:t>Minimis</w:t>
            </w:r>
            <w:r w:rsidRPr="002E4BB0">
              <w:rPr>
                <w:rFonts w:asciiTheme="minorHAnsi" w:hAnsiTheme="minorHAnsi" w:cstheme="minorHAnsi"/>
                <w:sz w:val="22"/>
                <w:szCs w:val="22"/>
                <w:lang w:val="el-GR"/>
              </w:rPr>
              <w:t>))</w:t>
            </w:r>
          </w:p>
        </w:tc>
        <w:tc>
          <w:tcPr>
            <w:tcW w:w="1745" w:type="dxa"/>
          </w:tcPr>
          <w:p w14:paraId="46C658F1" w14:textId="77777777" w:rsidR="002E4BB0" w:rsidRPr="002E4BB0" w:rsidRDefault="002E4BB0" w:rsidP="007362CD">
            <w:pPr>
              <w:pStyle w:val="Default"/>
              <w:jc w:val="center"/>
              <w:rPr>
                <w:rFonts w:asciiTheme="minorHAnsi" w:hAnsiTheme="minorHAnsi" w:cstheme="minorHAnsi"/>
                <w:sz w:val="22"/>
                <w:szCs w:val="22"/>
                <w:lang w:val="el-GR"/>
              </w:rPr>
            </w:pPr>
            <w:r w:rsidRPr="002E4BB0">
              <w:rPr>
                <w:rFonts w:asciiTheme="minorHAnsi" w:hAnsiTheme="minorHAnsi" w:cstheme="minorHAnsi"/>
                <w:sz w:val="22"/>
                <w:szCs w:val="22"/>
                <w:lang w:val="el-GR"/>
              </w:rPr>
              <w:t>Για το σύνολο των Περιφερειών της Χώρας εκτός των Περιοχών Δίκαιης Μετάβασης</w:t>
            </w:r>
          </w:p>
        </w:tc>
        <w:tc>
          <w:tcPr>
            <w:tcW w:w="1375" w:type="dxa"/>
          </w:tcPr>
          <w:p w14:paraId="424EF83B" w14:textId="77777777" w:rsidR="002E4BB0" w:rsidRPr="00ED1475" w:rsidRDefault="002E4BB0" w:rsidP="007362CD">
            <w:pPr>
              <w:jc w:val="center"/>
              <w:rPr>
                <w:rFonts w:cstheme="minorHAnsi"/>
              </w:rPr>
            </w:pPr>
          </w:p>
          <w:p w14:paraId="6A95D1BD" w14:textId="77777777" w:rsidR="002E4BB0" w:rsidRPr="00ED1475" w:rsidRDefault="002E4BB0" w:rsidP="007362CD">
            <w:pPr>
              <w:jc w:val="center"/>
              <w:rPr>
                <w:rFonts w:cstheme="minorHAnsi"/>
              </w:rPr>
            </w:pPr>
          </w:p>
          <w:p w14:paraId="109C257E" w14:textId="77777777" w:rsidR="002E4BB0" w:rsidRPr="00ED1475" w:rsidRDefault="002E4BB0" w:rsidP="007362CD">
            <w:pPr>
              <w:jc w:val="center"/>
              <w:rPr>
                <w:rFonts w:cstheme="minorHAnsi"/>
              </w:rPr>
            </w:pPr>
            <w:r w:rsidRPr="00ED1475">
              <w:rPr>
                <w:rFonts w:cstheme="minorHAnsi"/>
              </w:rPr>
              <w:t>50%</w:t>
            </w:r>
          </w:p>
        </w:tc>
        <w:tc>
          <w:tcPr>
            <w:tcW w:w="1287" w:type="dxa"/>
          </w:tcPr>
          <w:p w14:paraId="5157007B" w14:textId="77777777" w:rsidR="002E4BB0" w:rsidRPr="00ED1475" w:rsidRDefault="002E4BB0" w:rsidP="007362CD">
            <w:pPr>
              <w:jc w:val="center"/>
              <w:rPr>
                <w:rFonts w:cstheme="minorHAnsi"/>
              </w:rPr>
            </w:pPr>
          </w:p>
          <w:p w14:paraId="11BA40E2" w14:textId="77777777" w:rsidR="002E4BB0" w:rsidRPr="00ED1475" w:rsidRDefault="002E4BB0" w:rsidP="007362CD">
            <w:pPr>
              <w:jc w:val="center"/>
              <w:rPr>
                <w:rFonts w:cstheme="minorHAnsi"/>
              </w:rPr>
            </w:pPr>
          </w:p>
          <w:p w14:paraId="3157DB8B" w14:textId="77777777" w:rsidR="002E4BB0" w:rsidRPr="00ED1475" w:rsidRDefault="002E4BB0" w:rsidP="007362CD">
            <w:pPr>
              <w:jc w:val="center"/>
              <w:rPr>
                <w:rFonts w:cstheme="minorHAnsi"/>
              </w:rPr>
            </w:pPr>
            <w:r w:rsidRPr="00ED1475">
              <w:rPr>
                <w:rFonts w:cstheme="minorHAnsi"/>
              </w:rPr>
              <w:t>50%</w:t>
            </w:r>
          </w:p>
        </w:tc>
        <w:tc>
          <w:tcPr>
            <w:tcW w:w="1254" w:type="dxa"/>
          </w:tcPr>
          <w:p w14:paraId="128E3B3D" w14:textId="77777777" w:rsidR="002E4BB0" w:rsidRPr="00ED1475" w:rsidRDefault="002E4BB0" w:rsidP="007362CD">
            <w:pPr>
              <w:jc w:val="center"/>
              <w:rPr>
                <w:rFonts w:cstheme="minorHAnsi"/>
              </w:rPr>
            </w:pPr>
          </w:p>
          <w:p w14:paraId="75836188" w14:textId="77777777" w:rsidR="002E4BB0" w:rsidRPr="00ED1475" w:rsidRDefault="002E4BB0" w:rsidP="007362CD">
            <w:pPr>
              <w:jc w:val="center"/>
              <w:rPr>
                <w:rFonts w:cstheme="minorHAnsi"/>
              </w:rPr>
            </w:pPr>
          </w:p>
          <w:p w14:paraId="4C419E75" w14:textId="77777777" w:rsidR="002E4BB0" w:rsidRPr="00ED1475" w:rsidRDefault="002E4BB0" w:rsidP="007362CD">
            <w:pPr>
              <w:jc w:val="center"/>
              <w:rPr>
                <w:rFonts w:cstheme="minorHAnsi"/>
              </w:rPr>
            </w:pPr>
            <w:r w:rsidRPr="00ED1475">
              <w:rPr>
                <w:rFonts w:cstheme="minorHAnsi"/>
              </w:rPr>
              <w:t>50%</w:t>
            </w:r>
          </w:p>
        </w:tc>
        <w:tc>
          <w:tcPr>
            <w:tcW w:w="933" w:type="dxa"/>
            <w:tcBorders>
              <w:right w:val="double" w:sz="4" w:space="0" w:color="auto"/>
            </w:tcBorders>
          </w:tcPr>
          <w:p w14:paraId="0C68D8AE" w14:textId="77777777" w:rsidR="002E4BB0" w:rsidRPr="00ED1475" w:rsidRDefault="002E4BB0" w:rsidP="007362CD">
            <w:pPr>
              <w:jc w:val="center"/>
              <w:rPr>
                <w:rFonts w:cstheme="minorHAnsi"/>
              </w:rPr>
            </w:pPr>
          </w:p>
          <w:p w14:paraId="2D4D4D73" w14:textId="77777777" w:rsidR="002E4BB0" w:rsidRPr="00ED1475" w:rsidRDefault="002E4BB0" w:rsidP="007362CD">
            <w:pPr>
              <w:jc w:val="center"/>
              <w:rPr>
                <w:rFonts w:cstheme="minorHAnsi"/>
              </w:rPr>
            </w:pPr>
          </w:p>
          <w:p w14:paraId="09A0FE23" w14:textId="77777777" w:rsidR="002E4BB0" w:rsidRPr="00ED1475" w:rsidRDefault="002E4BB0" w:rsidP="007362CD">
            <w:pPr>
              <w:jc w:val="center"/>
              <w:rPr>
                <w:rFonts w:cstheme="minorHAnsi"/>
              </w:rPr>
            </w:pPr>
            <w:r w:rsidRPr="00ED1475">
              <w:rPr>
                <w:rFonts w:cstheme="minorHAnsi"/>
              </w:rPr>
              <w:t>50%</w:t>
            </w:r>
          </w:p>
        </w:tc>
      </w:tr>
      <w:tr w:rsidR="002E4BB0" w:rsidRPr="00ED1475" w14:paraId="18B1C9F3" w14:textId="77777777" w:rsidTr="002E4BB0">
        <w:trPr>
          <w:trHeight w:val="417"/>
        </w:trPr>
        <w:tc>
          <w:tcPr>
            <w:tcW w:w="1623" w:type="dxa"/>
            <w:vMerge/>
            <w:tcBorders>
              <w:left w:val="double" w:sz="4" w:space="0" w:color="auto"/>
              <w:bottom w:val="double" w:sz="4" w:space="0" w:color="auto"/>
            </w:tcBorders>
          </w:tcPr>
          <w:p w14:paraId="0672ACFD" w14:textId="77777777" w:rsidR="002E4BB0" w:rsidRPr="00ED1475" w:rsidRDefault="002E4BB0" w:rsidP="007362CD">
            <w:pPr>
              <w:pStyle w:val="Default"/>
              <w:jc w:val="center"/>
              <w:rPr>
                <w:rFonts w:asciiTheme="minorHAnsi" w:hAnsiTheme="minorHAnsi" w:cstheme="minorHAnsi"/>
                <w:color w:val="auto"/>
                <w:sz w:val="22"/>
                <w:szCs w:val="22"/>
              </w:rPr>
            </w:pPr>
          </w:p>
        </w:tc>
        <w:tc>
          <w:tcPr>
            <w:tcW w:w="1745" w:type="dxa"/>
            <w:tcBorders>
              <w:bottom w:val="double" w:sz="4" w:space="0" w:color="auto"/>
            </w:tcBorders>
          </w:tcPr>
          <w:p w14:paraId="78630813" w14:textId="77777777" w:rsidR="002E4BB0" w:rsidRPr="002E4BB0" w:rsidRDefault="002E4BB0" w:rsidP="007362CD">
            <w:pPr>
              <w:pStyle w:val="Default"/>
              <w:jc w:val="center"/>
              <w:rPr>
                <w:rFonts w:asciiTheme="minorHAnsi" w:hAnsiTheme="minorHAnsi" w:cstheme="minorHAnsi"/>
                <w:sz w:val="22"/>
                <w:szCs w:val="22"/>
                <w:lang w:val="el-GR"/>
              </w:rPr>
            </w:pPr>
            <w:r w:rsidRPr="002E4BB0">
              <w:rPr>
                <w:rFonts w:asciiTheme="minorHAnsi" w:hAnsiTheme="minorHAnsi" w:cstheme="minorHAnsi"/>
                <w:sz w:val="22"/>
                <w:szCs w:val="22"/>
                <w:lang w:val="el-GR"/>
              </w:rPr>
              <w:t>Για τις Περιοχές Δίκαιης Μετάβασης</w:t>
            </w:r>
          </w:p>
        </w:tc>
        <w:tc>
          <w:tcPr>
            <w:tcW w:w="1375" w:type="dxa"/>
            <w:tcBorders>
              <w:bottom w:val="double" w:sz="4" w:space="0" w:color="auto"/>
            </w:tcBorders>
          </w:tcPr>
          <w:p w14:paraId="0A39C8E3" w14:textId="77777777" w:rsidR="002E4BB0" w:rsidRPr="00ED1475" w:rsidRDefault="002E4BB0" w:rsidP="007362CD">
            <w:pPr>
              <w:jc w:val="center"/>
              <w:rPr>
                <w:rFonts w:cstheme="minorHAnsi"/>
              </w:rPr>
            </w:pPr>
          </w:p>
          <w:p w14:paraId="65DC6316" w14:textId="77777777" w:rsidR="002E4BB0" w:rsidRPr="00ED1475" w:rsidRDefault="002E4BB0" w:rsidP="007362CD">
            <w:pPr>
              <w:jc w:val="center"/>
              <w:rPr>
                <w:rFonts w:cstheme="minorHAnsi"/>
              </w:rPr>
            </w:pPr>
            <w:r w:rsidRPr="00ED1475">
              <w:rPr>
                <w:rFonts w:cstheme="minorHAnsi"/>
              </w:rPr>
              <w:t>60%</w:t>
            </w:r>
          </w:p>
        </w:tc>
        <w:tc>
          <w:tcPr>
            <w:tcW w:w="1287" w:type="dxa"/>
            <w:tcBorders>
              <w:bottom w:val="double" w:sz="4" w:space="0" w:color="auto"/>
            </w:tcBorders>
          </w:tcPr>
          <w:p w14:paraId="52D22CCA" w14:textId="77777777" w:rsidR="002E4BB0" w:rsidRPr="00ED1475" w:rsidRDefault="002E4BB0" w:rsidP="007362CD">
            <w:pPr>
              <w:jc w:val="center"/>
              <w:rPr>
                <w:rFonts w:cstheme="minorHAnsi"/>
              </w:rPr>
            </w:pPr>
          </w:p>
          <w:p w14:paraId="640D2D81" w14:textId="77777777" w:rsidR="002E4BB0" w:rsidRPr="00ED1475" w:rsidRDefault="002E4BB0" w:rsidP="007362CD">
            <w:pPr>
              <w:jc w:val="center"/>
              <w:rPr>
                <w:rFonts w:cstheme="minorHAnsi"/>
              </w:rPr>
            </w:pPr>
            <w:r w:rsidRPr="00ED1475">
              <w:rPr>
                <w:rFonts w:cstheme="minorHAnsi"/>
              </w:rPr>
              <w:t>60%</w:t>
            </w:r>
          </w:p>
        </w:tc>
        <w:tc>
          <w:tcPr>
            <w:tcW w:w="1254" w:type="dxa"/>
            <w:tcBorders>
              <w:bottom w:val="double" w:sz="4" w:space="0" w:color="auto"/>
            </w:tcBorders>
          </w:tcPr>
          <w:p w14:paraId="68978BD2" w14:textId="77777777" w:rsidR="002E4BB0" w:rsidRPr="00ED1475" w:rsidRDefault="002E4BB0" w:rsidP="007362CD">
            <w:pPr>
              <w:jc w:val="center"/>
              <w:rPr>
                <w:rFonts w:cstheme="minorHAnsi"/>
              </w:rPr>
            </w:pPr>
          </w:p>
          <w:p w14:paraId="18DBEEF4" w14:textId="77777777" w:rsidR="002E4BB0" w:rsidRPr="00ED1475" w:rsidRDefault="002E4BB0" w:rsidP="007362CD">
            <w:pPr>
              <w:jc w:val="center"/>
              <w:rPr>
                <w:rFonts w:cstheme="minorHAnsi"/>
              </w:rPr>
            </w:pPr>
            <w:r w:rsidRPr="00ED1475">
              <w:rPr>
                <w:rFonts w:cstheme="minorHAnsi"/>
              </w:rPr>
              <w:t>40%</w:t>
            </w:r>
          </w:p>
        </w:tc>
        <w:tc>
          <w:tcPr>
            <w:tcW w:w="933" w:type="dxa"/>
            <w:tcBorders>
              <w:bottom w:val="double" w:sz="4" w:space="0" w:color="auto"/>
              <w:right w:val="double" w:sz="4" w:space="0" w:color="auto"/>
            </w:tcBorders>
          </w:tcPr>
          <w:p w14:paraId="486ABD30" w14:textId="77777777" w:rsidR="002E4BB0" w:rsidRPr="00ED1475" w:rsidRDefault="002E4BB0" w:rsidP="007362CD">
            <w:pPr>
              <w:jc w:val="center"/>
              <w:rPr>
                <w:rFonts w:cstheme="minorHAnsi"/>
              </w:rPr>
            </w:pPr>
          </w:p>
          <w:p w14:paraId="41E8BD45" w14:textId="77777777" w:rsidR="002E4BB0" w:rsidRPr="00ED1475" w:rsidRDefault="002E4BB0" w:rsidP="007362CD">
            <w:pPr>
              <w:jc w:val="center"/>
              <w:rPr>
                <w:rFonts w:cstheme="minorHAnsi"/>
              </w:rPr>
            </w:pPr>
            <w:r w:rsidRPr="00ED1475">
              <w:rPr>
                <w:rFonts w:cstheme="minorHAnsi"/>
              </w:rPr>
              <w:t>40%</w:t>
            </w:r>
          </w:p>
        </w:tc>
      </w:tr>
    </w:tbl>
    <w:p w14:paraId="779D267F" w14:textId="77777777" w:rsidR="002E4BB0" w:rsidRPr="00ED1475" w:rsidRDefault="002E4BB0" w:rsidP="002E4BB0">
      <w:pPr>
        <w:pStyle w:val="Default"/>
        <w:ind w:firstLine="720"/>
        <w:rPr>
          <w:rFonts w:asciiTheme="minorHAnsi" w:hAnsiTheme="minorHAnsi" w:cstheme="minorHAnsi"/>
          <w:sz w:val="22"/>
          <w:szCs w:val="22"/>
        </w:rPr>
      </w:pPr>
      <w:r w:rsidRPr="00ED1475">
        <w:rPr>
          <w:rFonts w:asciiTheme="minorHAnsi" w:hAnsiTheme="minorHAnsi" w:cstheme="minorHAnsi"/>
          <w:i/>
          <w:iCs/>
          <w:sz w:val="22"/>
          <w:szCs w:val="22"/>
        </w:rPr>
        <w:t>*</w:t>
      </w:r>
      <w:proofErr w:type="spellStart"/>
      <w:r w:rsidRPr="00ED1475">
        <w:rPr>
          <w:rFonts w:asciiTheme="minorHAnsi" w:hAnsiTheme="minorHAnsi" w:cstheme="minorHAnsi"/>
          <w:i/>
          <w:iCs/>
          <w:sz w:val="22"/>
          <w:szCs w:val="22"/>
        </w:rPr>
        <w:t>Περιοχές</w:t>
      </w:r>
      <w:proofErr w:type="spellEnd"/>
      <w:r w:rsidRPr="00ED1475">
        <w:rPr>
          <w:rFonts w:asciiTheme="minorHAnsi" w:hAnsiTheme="minorHAnsi" w:cstheme="minorHAnsi"/>
          <w:i/>
          <w:iCs/>
          <w:sz w:val="22"/>
          <w:szCs w:val="22"/>
        </w:rPr>
        <w:t xml:space="preserve"> </w:t>
      </w:r>
      <w:proofErr w:type="spellStart"/>
      <w:r w:rsidRPr="00ED1475">
        <w:rPr>
          <w:rFonts w:asciiTheme="minorHAnsi" w:hAnsiTheme="minorHAnsi" w:cstheme="minorHAnsi"/>
          <w:i/>
          <w:iCs/>
          <w:sz w:val="22"/>
          <w:szCs w:val="22"/>
        </w:rPr>
        <w:t>Δίκ</w:t>
      </w:r>
      <w:proofErr w:type="spellEnd"/>
      <w:r w:rsidRPr="00ED1475">
        <w:rPr>
          <w:rFonts w:asciiTheme="minorHAnsi" w:hAnsiTheme="minorHAnsi" w:cstheme="minorHAnsi"/>
          <w:i/>
          <w:iCs/>
          <w:sz w:val="22"/>
          <w:szCs w:val="22"/>
        </w:rPr>
        <w:t xml:space="preserve">αιης </w:t>
      </w:r>
      <w:proofErr w:type="spellStart"/>
      <w:r w:rsidRPr="00ED1475">
        <w:rPr>
          <w:rFonts w:asciiTheme="minorHAnsi" w:hAnsiTheme="minorHAnsi" w:cstheme="minorHAnsi"/>
          <w:i/>
          <w:iCs/>
          <w:sz w:val="22"/>
          <w:szCs w:val="22"/>
        </w:rPr>
        <w:t>Μετά</w:t>
      </w:r>
      <w:proofErr w:type="spellEnd"/>
      <w:r w:rsidRPr="00ED1475">
        <w:rPr>
          <w:rFonts w:asciiTheme="minorHAnsi" w:hAnsiTheme="minorHAnsi" w:cstheme="minorHAnsi"/>
          <w:i/>
          <w:iCs/>
          <w:sz w:val="22"/>
          <w:szCs w:val="22"/>
        </w:rPr>
        <w:t xml:space="preserve">βασης </w:t>
      </w:r>
    </w:p>
    <w:p w14:paraId="62DAD151" w14:textId="77777777" w:rsidR="002E4BB0" w:rsidRPr="002E4BB0" w:rsidRDefault="002E4BB0" w:rsidP="002E4BB0">
      <w:pPr>
        <w:pStyle w:val="Default"/>
        <w:ind w:firstLine="720"/>
        <w:rPr>
          <w:rFonts w:asciiTheme="minorHAnsi" w:hAnsiTheme="minorHAnsi" w:cstheme="minorHAnsi"/>
          <w:sz w:val="22"/>
          <w:szCs w:val="22"/>
          <w:lang w:val="el-GR"/>
        </w:rPr>
      </w:pPr>
      <w:r w:rsidRPr="002E4BB0">
        <w:rPr>
          <w:rFonts w:asciiTheme="minorHAnsi" w:hAnsiTheme="minorHAnsi" w:cstheme="minorHAnsi"/>
          <w:i/>
          <w:iCs/>
          <w:sz w:val="22"/>
          <w:szCs w:val="22"/>
          <w:lang w:val="el-GR"/>
        </w:rPr>
        <w:t xml:space="preserve">Περιφέρειες: Δυτικής Μακεδονίας, Βορείου Αιγαίου, Νοτίου Αιγαίου, Κρήτης </w:t>
      </w:r>
    </w:p>
    <w:p w14:paraId="7F9D01F0" w14:textId="77777777" w:rsidR="002E4BB0" w:rsidRPr="00ED1475" w:rsidRDefault="002E4BB0" w:rsidP="002E4BB0">
      <w:pPr>
        <w:ind w:firstLine="720"/>
        <w:jc w:val="both"/>
        <w:rPr>
          <w:rFonts w:cstheme="minorHAnsi"/>
          <w:i/>
          <w:iCs/>
        </w:rPr>
      </w:pPr>
      <w:r w:rsidRPr="00ED1475">
        <w:rPr>
          <w:rFonts w:cstheme="minorHAnsi"/>
          <w:i/>
          <w:iCs/>
        </w:rPr>
        <w:t>Δήμοι: Μεγαλόπολης, Γορτυνίας, Τρίπολης, Οιχαλίας</w:t>
      </w:r>
    </w:p>
    <w:p w14:paraId="62482147" w14:textId="77777777" w:rsidR="00CB218B" w:rsidRDefault="00CB218B" w:rsidP="00D167A0">
      <w:pPr>
        <w:pStyle w:val="af0"/>
        <w:tabs>
          <w:tab w:val="left" w:pos="8222"/>
        </w:tabs>
        <w:spacing w:line="288" w:lineRule="auto"/>
        <w:ind w:left="284" w:right="323"/>
        <w:jc w:val="both"/>
        <w:rPr>
          <w:rFonts w:ascii="Times New Roman" w:hAnsi="Times New Roman" w:cs="Times New Roman"/>
          <w:u w:val="single"/>
        </w:rPr>
      </w:pPr>
    </w:p>
    <w:p w14:paraId="4E3FB47D" w14:textId="08709671"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u w:val="single"/>
        </w:rPr>
      </w:pPr>
      <w:r w:rsidRPr="00CB218B">
        <w:rPr>
          <w:rFonts w:ascii="Times New Roman" w:hAnsi="Times New Roman" w:cs="Times New Roman"/>
          <w:sz w:val="24"/>
          <w:szCs w:val="24"/>
          <w:u w:val="single"/>
        </w:rPr>
        <w:t>Επιλέξιμες Δαπάνες</w:t>
      </w:r>
    </w:p>
    <w:p w14:paraId="12EBC4E2" w14:textId="77777777" w:rsidR="002E4BB0" w:rsidRPr="00CB218B" w:rsidRDefault="002E4BB0" w:rsidP="00CB218B">
      <w:pPr>
        <w:pStyle w:val="af0"/>
        <w:numPr>
          <w:ilvl w:val="0"/>
          <w:numId w:val="20"/>
        </w:numPr>
        <w:tabs>
          <w:tab w:val="left" w:pos="8222"/>
        </w:tabs>
        <w:spacing w:line="288" w:lineRule="auto"/>
        <w:ind w:left="709" w:right="323"/>
        <w:jc w:val="both"/>
        <w:rPr>
          <w:rFonts w:ascii="Times New Roman" w:hAnsi="Times New Roman" w:cs="Times New Roman"/>
          <w:sz w:val="24"/>
          <w:szCs w:val="24"/>
        </w:rPr>
      </w:pPr>
      <w:r w:rsidRPr="00CB218B">
        <w:rPr>
          <w:rFonts w:ascii="Times New Roman" w:hAnsi="Times New Roman" w:cs="Times New Roman"/>
          <w:sz w:val="24"/>
          <w:szCs w:val="24"/>
        </w:rPr>
        <w:t xml:space="preserve">Εξοπλισμός, με ενδεικτικές δαπάνες: Ψηφιακά ελεγχόμενος Η/Μ εξοπλισμός, εξελιγμένα συστήματα απομακρυσμένης λειτουργίας εγκαταστάσεων, αυτοματοποίηση των διαφόρων σταδίων της αλυσίδας αξίας (παραγωγή – μεταφορά – αποθήκευση) με ρομποτικά συστήματα, αναβάθμιση εσωτερικών δικτύων μεταφοράς δεδομένων, ψηφιακά τεχνολογικά συστήματα: </w:t>
      </w:r>
      <w:proofErr w:type="spellStart"/>
      <w:r w:rsidRPr="00CB218B">
        <w:rPr>
          <w:rFonts w:ascii="Times New Roman" w:hAnsi="Times New Roman" w:cs="Times New Roman"/>
          <w:sz w:val="24"/>
          <w:szCs w:val="24"/>
        </w:rPr>
        <w:t>διάδρασης</w:t>
      </w:r>
      <w:proofErr w:type="spellEnd"/>
      <w:r w:rsidRPr="00CB218B">
        <w:rPr>
          <w:rFonts w:ascii="Times New Roman" w:hAnsi="Times New Roman" w:cs="Times New Roman"/>
          <w:sz w:val="24"/>
          <w:szCs w:val="24"/>
        </w:rPr>
        <w:t xml:space="preserve"> με εργαζόμενους, πελάτες ή προμηθευτές, Industry 4.0, ψηφιακά ελεγχόμενα συστήματα, μηχανολογικός εξοπλισμός αιχμής για την παραγωγή συστημάτων Industry 4.0., αυτόνομων μηχανών, ρομποτικών συστημάτων, επαυξημένη </w:t>
      </w:r>
      <w:r w:rsidRPr="00CB218B">
        <w:rPr>
          <w:rFonts w:ascii="Times New Roman" w:hAnsi="Times New Roman" w:cs="Times New Roman"/>
          <w:sz w:val="24"/>
          <w:szCs w:val="24"/>
        </w:rPr>
        <w:lastRenderedPageBreak/>
        <w:t>πραγματικότητα, μηχανολογικός εξοπλισμός αιχμής για την παραγωγή συστημάτων αιχμής για την ασφάλεια χώρων, κ.α.</w:t>
      </w:r>
    </w:p>
    <w:p w14:paraId="79ECCC8B" w14:textId="77777777" w:rsidR="002E4BB0" w:rsidRPr="00CB218B" w:rsidRDefault="002E4BB0" w:rsidP="00CB218B">
      <w:pPr>
        <w:pStyle w:val="af0"/>
        <w:numPr>
          <w:ilvl w:val="0"/>
          <w:numId w:val="20"/>
        </w:numPr>
        <w:tabs>
          <w:tab w:val="left" w:pos="8222"/>
        </w:tabs>
        <w:spacing w:line="288" w:lineRule="auto"/>
        <w:ind w:left="709" w:right="323"/>
        <w:jc w:val="both"/>
        <w:rPr>
          <w:rFonts w:ascii="Times New Roman" w:hAnsi="Times New Roman" w:cs="Times New Roman"/>
          <w:sz w:val="24"/>
          <w:szCs w:val="24"/>
        </w:rPr>
      </w:pPr>
      <w:r w:rsidRPr="00CB218B">
        <w:rPr>
          <w:rFonts w:ascii="Times New Roman" w:hAnsi="Times New Roman" w:cs="Times New Roman"/>
          <w:sz w:val="24"/>
          <w:szCs w:val="24"/>
        </w:rPr>
        <w:t xml:space="preserve">Εφαρμογές/Λογισμικό, με ενδεικτικές δαπάνες: Προμήθεια εφαρμογών αυξημένης ευφυίας διοικητικού και οικονομικού προγραμματισμού, ψηφιακής ασφάλειας, διαχείρισης πελατών και εφοδιαστικής αλυσίδας, ανάλυσης δεδομένων με εργαλεία τεχνητής νοημοσύνης, βελτιστοποίησης της παραγωγής, αναβάθμισης των παρεχόμενων υπηρεσιών, </w:t>
      </w:r>
      <w:proofErr w:type="spellStart"/>
      <w:r w:rsidRPr="00CB218B">
        <w:rPr>
          <w:rFonts w:ascii="Times New Roman" w:hAnsi="Times New Roman" w:cs="Times New Roman"/>
          <w:sz w:val="24"/>
          <w:szCs w:val="24"/>
        </w:rPr>
        <w:t>blockchain</w:t>
      </w:r>
      <w:proofErr w:type="spellEnd"/>
      <w:r w:rsidRPr="00CB218B">
        <w:rPr>
          <w:rFonts w:ascii="Times New Roman" w:hAnsi="Times New Roman" w:cs="Times New Roman"/>
          <w:sz w:val="24"/>
          <w:szCs w:val="24"/>
        </w:rPr>
        <w:t>, κ.λπ.</w:t>
      </w:r>
    </w:p>
    <w:p w14:paraId="0C6FE46A" w14:textId="77777777" w:rsidR="002E4BB0" w:rsidRPr="00CB218B" w:rsidRDefault="002E4BB0" w:rsidP="00CB218B">
      <w:pPr>
        <w:pStyle w:val="af0"/>
        <w:numPr>
          <w:ilvl w:val="0"/>
          <w:numId w:val="20"/>
        </w:numPr>
        <w:tabs>
          <w:tab w:val="left" w:pos="8222"/>
        </w:tabs>
        <w:spacing w:line="288" w:lineRule="auto"/>
        <w:ind w:left="709" w:right="323"/>
        <w:jc w:val="both"/>
        <w:rPr>
          <w:rFonts w:ascii="Times New Roman" w:hAnsi="Times New Roman" w:cs="Times New Roman"/>
          <w:sz w:val="24"/>
          <w:szCs w:val="24"/>
        </w:rPr>
      </w:pPr>
      <w:r w:rsidRPr="00CB218B">
        <w:rPr>
          <w:rFonts w:ascii="Times New Roman" w:hAnsi="Times New Roman" w:cs="Times New Roman"/>
          <w:sz w:val="24"/>
          <w:szCs w:val="24"/>
        </w:rPr>
        <w:t xml:space="preserve">Υπηρεσίες που συνδέονται με τη ψηφιακή αναβάθμιση, με ενδεικτικές δαπάνες: Συμβουλευτική και τεχνική υποστήριξη για την παραμετροποίηση και ενσωμάτωση των νέων συστημάτων στη λειτουργία των </w:t>
      </w:r>
      <w:proofErr w:type="spellStart"/>
      <w:r w:rsidRPr="00CB218B">
        <w:rPr>
          <w:rFonts w:ascii="Times New Roman" w:hAnsi="Times New Roman" w:cs="Times New Roman"/>
          <w:sz w:val="24"/>
          <w:szCs w:val="24"/>
        </w:rPr>
        <w:t>ΜμΕ</w:t>
      </w:r>
      <w:proofErr w:type="spellEnd"/>
      <w:r w:rsidRPr="00CB218B">
        <w:rPr>
          <w:rFonts w:ascii="Times New Roman" w:hAnsi="Times New Roman" w:cs="Times New Roman"/>
          <w:sz w:val="24"/>
          <w:szCs w:val="24"/>
        </w:rPr>
        <w:t>, πιστοποίηση συστημάτων, κ.λπ.</w:t>
      </w:r>
    </w:p>
    <w:p w14:paraId="378DDF4D" w14:textId="77777777" w:rsidR="002E4BB0" w:rsidRPr="00CB218B" w:rsidRDefault="002E4BB0" w:rsidP="002E4BB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Ως ημερομηνία έναρξης </w:t>
      </w:r>
      <w:proofErr w:type="spellStart"/>
      <w:r w:rsidRPr="00CB218B">
        <w:rPr>
          <w:rFonts w:ascii="Times New Roman" w:hAnsi="Times New Roman" w:cs="Times New Roman"/>
          <w:sz w:val="24"/>
          <w:szCs w:val="24"/>
        </w:rPr>
        <w:t>επιλεξιμότητας</w:t>
      </w:r>
      <w:proofErr w:type="spellEnd"/>
      <w:r w:rsidRPr="00CB218B">
        <w:rPr>
          <w:rFonts w:ascii="Times New Roman" w:hAnsi="Times New Roman" w:cs="Times New Roman"/>
          <w:sz w:val="24"/>
          <w:szCs w:val="24"/>
        </w:rPr>
        <w:t xml:space="preserve"> δαπανών ορίζεται η ημερομηνία υποβολής της αίτησης. Σε περίπτωση δαπάνης πριν την ημερομηνία υποβολής της αίτησης:</w:t>
      </w:r>
    </w:p>
    <w:p w14:paraId="58BC6CE1" w14:textId="77777777" w:rsidR="002E4BB0" w:rsidRPr="00CB218B" w:rsidRDefault="002E4BB0" w:rsidP="002E4BB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 Εφόσον η αίτηση χρηματοδότησης έχει υποβληθεί με το χρηματοδοτικό καθεστώς του Καν. ΕΕ 1407/2013 (de </w:t>
      </w:r>
      <w:proofErr w:type="spellStart"/>
      <w:r w:rsidRPr="00CB218B">
        <w:rPr>
          <w:rFonts w:ascii="Times New Roman" w:hAnsi="Times New Roman" w:cs="Times New Roman"/>
          <w:sz w:val="24"/>
          <w:szCs w:val="24"/>
        </w:rPr>
        <w:t>minimis</w:t>
      </w:r>
      <w:proofErr w:type="spellEnd"/>
      <w:r w:rsidRPr="00CB218B">
        <w:rPr>
          <w:rFonts w:ascii="Times New Roman" w:hAnsi="Times New Roman" w:cs="Times New Roman"/>
          <w:sz w:val="24"/>
          <w:szCs w:val="24"/>
        </w:rPr>
        <w:t>), η δαπάνη κρίνεται μη επιλέξιμη και ως εκ τούτου η δαπάνη αυτή απορρίπτεται.</w:t>
      </w:r>
    </w:p>
    <w:p w14:paraId="3A20AF24" w14:textId="4FA9E0C2" w:rsidR="002E4BB0" w:rsidRPr="00CB218B" w:rsidRDefault="002E4BB0" w:rsidP="002E4BB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Εφόσον η αίτηση χρηματοδότησης έχει υποβληθεί με το χρηματοδοτικό καθεστώς του Καν. ΕΕ 651/2014 (ΓΚΑΚ), το σύνολο του επενδυτικού σχεδίου καθίσταται μη επιλέξιμο προς χρηματοδότηση.</w:t>
      </w:r>
    </w:p>
    <w:p w14:paraId="6DC9359F" w14:textId="77777777" w:rsidR="002E4BB0" w:rsidRPr="00CB218B" w:rsidRDefault="002E4BB0" w:rsidP="00D167A0">
      <w:pPr>
        <w:pStyle w:val="af0"/>
        <w:tabs>
          <w:tab w:val="left" w:pos="8222"/>
        </w:tabs>
        <w:spacing w:line="288" w:lineRule="auto"/>
        <w:ind w:left="284" w:right="323"/>
        <w:jc w:val="both"/>
        <w:rPr>
          <w:rFonts w:ascii="Times New Roman" w:hAnsi="Times New Roman" w:cs="Times New Roman"/>
          <w:b/>
          <w:bCs/>
          <w:sz w:val="24"/>
          <w:szCs w:val="24"/>
        </w:rPr>
      </w:pPr>
    </w:p>
    <w:p w14:paraId="7AE78DA8" w14:textId="208244EC" w:rsidR="003A7925" w:rsidRPr="00CB218B" w:rsidRDefault="003A7925" w:rsidP="002E4BB0">
      <w:pPr>
        <w:pStyle w:val="af0"/>
        <w:tabs>
          <w:tab w:val="left" w:pos="8222"/>
        </w:tabs>
        <w:spacing w:line="288" w:lineRule="auto"/>
        <w:ind w:left="284" w:right="323"/>
        <w:jc w:val="center"/>
        <w:rPr>
          <w:rFonts w:ascii="Times New Roman" w:hAnsi="Times New Roman" w:cs="Times New Roman"/>
          <w:b/>
          <w:bCs/>
          <w:sz w:val="24"/>
          <w:szCs w:val="24"/>
        </w:rPr>
      </w:pPr>
      <w:r w:rsidRPr="00CB218B">
        <w:rPr>
          <w:rFonts w:ascii="Times New Roman" w:hAnsi="Times New Roman" w:cs="Times New Roman"/>
          <w:b/>
          <w:bCs/>
          <w:sz w:val="24"/>
          <w:szCs w:val="24"/>
        </w:rPr>
        <w:t>ΥΠΟΒΟΛΗ – ΑΞΙΟΛΟΓΗΣΗ – ΕΝΤΑΞΗ – ΥΛΟΠΟΙΗΣΗ</w:t>
      </w:r>
    </w:p>
    <w:p w14:paraId="0E5B4579" w14:textId="77777777" w:rsidR="002E4BB0" w:rsidRPr="00CB218B" w:rsidRDefault="002E4BB0" w:rsidP="002E4BB0">
      <w:pPr>
        <w:pStyle w:val="af0"/>
        <w:tabs>
          <w:tab w:val="left" w:pos="8222"/>
        </w:tabs>
        <w:spacing w:line="288" w:lineRule="auto"/>
        <w:ind w:left="284" w:right="323"/>
        <w:jc w:val="center"/>
        <w:rPr>
          <w:rFonts w:ascii="Times New Roman" w:hAnsi="Times New Roman" w:cs="Times New Roman"/>
          <w:b/>
          <w:bCs/>
          <w:sz w:val="24"/>
          <w:szCs w:val="24"/>
        </w:rPr>
      </w:pPr>
      <w:r w:rsidRPr="00CB218B">
        <w:rPr>
          <w:rFonts w:ascii="Times New Roman" w:hAnsi="Times New Roman" w:cs="Times New Roman"/>
          <w:b/>
          <w:bCs/>
          <w:sz w:val="24"/>
          <w:szCs w:val="24"/>
        </w:rPr>
        <w:t>(και για τις τρείς Δράσεις)</w:t>
      </w:r>
    </w:p>
    <w:p w14:paraId="20325A3F"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Για τη χρηματοδότηση από την παρούσα Δράση απαιτείται </w:t>
      </w:r>
      <w:r w:rsidRPr="00CB218B">
        <w:rPr>
          <w:rFonts w:ascii="Times New Roman" w:hAnsi="Times New Roman" w:cs="Times New Roman"/>
          <w:b/>
          <w:bCs/>
          <w:sz w:val="24"/>
          <w:szCs w:val="24"/>
        </w:rPr>
        <w:t>η υποβολή προς αξιολόγηση Αίτησης Χρηματοδότησης</w:t>
      </w:r>
      <w:r w:rsidRPr="00CB218B">
        <w:rPr>
          <w:rFonts w:ascii="Times New Roman" w:hAnsi="Times New Roman" w:cs="Times New Roman"/>
          <w:sz w:val="24"/>
          <w:szCs w:val="24"/>
        </w:rPr>
        <w:t xml:space="preserve"> με βάση τη διαδικασία που θα καθοριστεί στην Αναλυτική Πρόσκληση της Δράσης.</w:t>
      </w:r>
    </w:p>
    <w:p w14:paraId="46BCF23C" w14:textId="77777777" w:rsidR="003A7925" w:rsidRPr="00CB218B" w:rsidRDefault="003A7925" w:rsidP="00D167A0">
      <w:pPr>
        <w:pStyle w:val="af0"/>
        <w:tabs>
          <w:tab w:val="left" w:pos="8222"/>
        </w:tabs>
        <w:spacing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Οι αναλυτικές προϋποθέσεις συμμετοχής, τα απαιτούμενα δικαιολογητικά, ο τρόπος υποβολής των προτάσεων, η διαδικασία εξέτασης και αξιολόγησης των προτάσεων, τα κριτήρια αξιολόγησης, οι υποχρεώσεις των δικαιούχων στην περίπτωση έγκρισης της αίτησης ενίσχυσης και οι λοιποί όροι θα </w:t>
      </w:r>
      <w:proofErr w:type="spellStart"/>
      <w:r w:rsidRPr="00CB218B">
        <w:rPr>
          <w:rFonts w:ascii="Times New Roman" w:hAnsi="Times New Roman" w:cs="Times New Roman"/>
          <w:sz w:val="24"/>
          <w:szCs w:val="24"/>
        </w:rPr>
        <w:t>περιγραφούν</w:t>
      </w:r>
      <w:proofErr w:type="spellEnd"/>
      <w:r w:rsidRPr="00CB218B">
        <w:rPr>
          <w:rFonts w:ascii="Times New Roman" w:hAnsi="Times New Roman" w:cs="Times New Roman"/>
          <w:sz w:val="24"/>
          <w:szCs w:val="24"/>
        </w:rPr>
        <w:t xml:space="preserve"> στην Αναλυτική Πρόσκληση της Δράσης.</w:t>
      </w:r>
    </w:p>
    <w:p w14:paraId="59A5CF59" w14:textId="77777777" w:rsidR="003A7925" w:rsidRPr="00CB218B" w:rsidRDefault="003A7925" w:rsidP="00D167A0">
      <w:pPr>
        <w:pStyle w:val="af0"/>
        <w:spacing w:line="288" w:lineRule="auto"/>
        <w:ind w:left="284" w:right="43"/>
        <w:jc w:val="both"/>
        <w:rPr>
          <w:rFonts w:ascii="Times New Roman" w:hAnsi="Times New Roman" w:cs="Times New Roman"/>
          <w:sz w:val="24"/>
          <w:szCs w:val="24"/>
        </w:rPr>
      </w:pPr>
      <w:r w:rsidRPr="00CB218B">
        <w:rPr>
          <w:rFonts w:ascii="Times New Roman" w:hAnsi="Times New Roman" w:cs="Times New Roman"/>
          <w:sz w:val="24"/>
          <w:szCs w:val="24"/>
        </w:rPr>
        <w:t xml:space="preserve">Σημειώνεται ότι κατά τον έλεγχο και την αξιολόγηση των προτάσεων </w:t>
      </w:r>
      <w:r w:rsidRPr="00CB218B">
        <w:rPr>
          <w:rFonts w:ascii="Times New Roman" w:hAnsi="Times New Roman" w:cs="Times New Roman"/>
          <w:b/>
          <w:bCs/>
          <w:sz w:val="24"/>
          <w:szCs w:val="24"/>
        </w:rPr>
        <w:t>θα γίνουν διασταυρώσεις μέσω Εθνικών Βάσεων Δεδομένων (ΑΑΔΕ, ΕΡΓΑΝΗ, Γ.Ε.ΜΗ.),</w:t>
      </w:r>
      <w:r w:rsidRPr="00CB218B">
        <w:rPr>
          <w:rFonts w:ascii="Times New Roman" w:hAnsi="Times New Roman" w:cs="Times New Roman"/>
          <w:sz w:val="24"/>
          <w:szCs w:val="24"/>
        </w:rPr>
        <w:t xml:space="preserve"> ώστε να επαληθευθεί η ακρίβεια των στοιχείων που περιέχονται στις αιτήσεις χρηματοδότησης και να αποφευχθούν φαινόμενα απάτης σε βάρος του </w:t>
      </w:r>
      <w:proofErr w:type="spellStart"/>
      <w:r w:rsidRPr="00CB218B">
        <w:rPr>
          <w:rFonts w:ascii="Times New Roman" w:hAnsi="Times New Roman" w:cs="Times New Roman"/>
          <w:sz w:val="24"/>
          <w:szCs w:val="24"/>
        </w:rPr>
        <w:t>ενωσιακού</w:t>
      </w:r>
      <w:proofErr w:type="spellEnd"/>
      <w:r w:rsidRPr="00CB218B">
        <w:rPr>
          <w:rFonts w:ascii="Times New Roman" w:hAnsi="Times New Roman" w:cs="Times New Roman"/>
          <w:sz w:val="24"/>
          <w:szCs w:val="24"/>
        </w:rPr>
        <w:t xml:space="preserve"> προϋπολογισμού.</w:t>
      </w:r>
    </w:p>
    <w:p w14:paraId="49106438" w14:textId="77777777" w:rsidR="003A7925" w:rsidRPr="00CB218B" w:rsidRDefault="003A7925" w:rsidP="00D167A0">
      <w:pPr>
        <w:pStyle w:val="af0"/>
        <w:spacing w:line="288" w:lineRule="auto"/>
        <w:ind w:left="284" w:right="43"/>
        <w:jc w:val="both"/>
        <w:rPr>
          <w:rFonts w:ascii="Times New Roman" w:hAnsi="Times New Roman" w:cs="Times New Roman"/>
          <w:sz w:val="24"/>
          <w:szCs w:val="24"/>
        </w:rPr>
      </w:pPr>
      <w:r w:rsidRPr="00CB218B">
        <w:rPr>
          <w:rFonts w:ascii="Times New Roman" w:hAnsi="Times New Roman" w:cs="Times New Roman"/>
          <w:sz w:val="24"/>
          <w:szCs w:val="24"/>
        </w:rPr>
        <w:lastRenderedPageBreak/>
        <w:t xml:space="preserve">Η αξιολόγηση των αιτήσεων χρηματοδότησης θα είναι </w:t>
      </w:r>
      <w:r w:rsidRPr="00CB218B">
        <w:rPr>
          <w:rFonts w:ascii="Times New Roman" w:hAnsi="Times New Roman" w:cs="Times New Roman"/>
          <w:b/>
          <w:bCs/>
          <w:sz w:val="24"/>
          <w:szCs w:val="24"/>
        </w:rPr>
        <w:t>άμεση (</w:t>
      </w:r>
      <w:proofErr w:type="spellStart"/>
      <w:r w:rsidRPr="00CB218B">
        <w:rPr>
          <w:rFonts w:ascii="Times New Roman" w:hAnsi="Times New Roman" w:cs="Times New Roman"/>
          <w:b/>
          <w:bCs/>
          <w:sz w:val="24"/>
          <w:szCs w:val="24"/>
        </w:rPr>
        <w:t>FiFo</w:t>
      </w:r>
      <w:proofErr w:type="spellEnd"/>
      <w:r w:rsidRPr="00CB218B">
        <w:rPr>
          <w:rFonts w:ascii="Times New Roman" w:hAnsi="Times New Roman" w:cs="Times New Roman"/>
          <w:b/>
          <w:bCs/>
          <w:sz w:val="24"/>
          <w:szCs w:val="24"/>
        </w:rPr>
        <w:t>)</w:t>
      </w:r>
      <w:r w:rsidRPr="00CB218B">
        <w:rPr>
          <w:rFonts w:ascii="Times New Roman" w:hAnsi="Times New Roman" w:cs="Times New Roman"/>
          <w:sz w:val="24"/>
          <w:szCs w:val="24"/>
        </w:rPr>
        <w:t xml:space="preserve"> και τα επενδυτικά σχέδια θα αξιολογούνται </w:t>
      </w:r>
      <w:r w:rsidRPr="00CB218B">
        <w:rPr>
          <w:rFonts w:ascii="Times New Roman" w:hAnsi="Times New Roman" w:cs="Times New Roman"/>
          <w:b/>
          <w:bCs/>
          <w:sz w:val="24"/>
          <w:szCs w:val="24"/>
        </w:rPr>
        <w:t>με τη σειρά που υποβάλλονται (ημέρα και ώρα) μέχρι εξάντλησης του προϋπολογισμού της Δράσης ανά κατηγορία περιφέρειας</w:t>
      </w:r>
      <w:r w:rsidRPr="00CB218B">
        <w:rPr>
          <w:rFonts w:ascii="Times New Roman" w:hAnsi="Times New Roman" w:cs="Times New Roman"/>
          <w:sz w:val="24"/>
          <w:szCs w:val="24"/>
        </w:rPr>
        <w:t xml:space="preserve">, βάσει των τυπικών κριτηρίων συμμετοχής καθώς και βαθμολογούμενων κριτηρίων όπως </w:t>
      </w:r>
      <w:proofErr w:type="spellStart"/>
      <w:r w:rsidRPr="00CB218B">
        <w:rPr>
          <w:rFonts w:ascii="Times New Roman" w:hAnsi="Times New Roman" w:cs="Times New Roman"/>
          <w:sz w:val="24"/>
          <w:szCs w:val="24"/>
        </w:rPr>
        <w:t>oι</w:t>
      </w:r>
      <w:proofErr w:type="spellEnd"/>
      <w:r w:rsidRPr="00CB218B">
        <w:rPr>
          <w:rFonts w:ascii="Times New Roman" w:hAnsi="Times New Roman" w:cs="Times New Roman"/>
          <w:sz w:val="24"/>
          <w:szCs w:val="24"/>
        </w:rPr>
        <w:t xml:space="preserve"> Ετήσιες Μονάδες Εργασίας, η ψηφιακή ωριμότητα της επιχείρησης και η περιγραφή του επενδυτικού σχεδίου.</w:t>
      </w:r>
    </w:p>
    <w:p w14:paraId="14E19ED9" w14:textId="77777777" w:rsidR="003A7925" w:rsidRPr="00CB218B" w:rsidRDefault="003A7925" w:rsidP="00D167A0">
      <w:pPr>
        <w:pStyle w:val="af0"/>
        <w:spacing w:line="288" w:lineRule="auto"/>
        <w:ind w:left="284" w:right="43"/>
        <w:jc w:val="both"/>
        <w:rPr>
          <w:rFonts w:ascii="Times New Roman" w:hAnsi="Times New Roman" w:cs="Times New Roman"/>
          <w:sz w:val="24"/>
          <w:szCs w:val="24"/>
        </w:rPr>
      </w:pPr>
      <w:r w:rsidRPr="00CB218B">
        <w:rPr>
          <w:rFonts w:ascii="Times New Roman" w:hAnsi="Times New Roman" w:cs="Times New Roman"/>
          <w:sz w:val="24"/>
          <w:szCs w:val="24"/>
        </w:rPr>
        <w:t>Οι επιλέξιμες κατηγορίες δαπανών οι οποίες θα τύχουν επιχορήγησης στο πλαίσιο της παρούσας προδημοσίευσης, θα ορισθούν στην Αναλυτική Πρόσκληση.</w:t>
      </w:r>
    </w:p>
    <w:p w14:paraId="2E97B0E4" w14:textId="77777777" w:rsidR="003A7925" w:rsidRPr="00CB218B" w:rsidRDefault="003A7925" w:rsidP="00D167A0">
      <w:pPr>
        <w:pStyle w:val="af0"/>
        <w:spacing w:line="288" w:lineRule="auto"/>
        <w:ind w:left="284" w:right="43"/>
        <w:jc w:val="both"/>
        <w:rPr>
          <w:rFonts w:ascii="Times New Roman" w:hAnsi="Times New Roman" w:cs="Times New Roman"/>
          <w:b/>
          <w:bCs/>
          <w:sz w:val="24"/>
          <w:szCs w:val="24"/>
        </w:rPr>
      </w:pPr>
      <w:r w:rsidRPr="00CB218B">
        <w:rPr>
          <w:rFonts w:ascii="Times New Roman" w:hAnsi="Times New Roman" w:cs="Times New Roman"/>
          <w:b/>
          <w:bCs/>
          <w:sz w:val="24"/>
          <w:szCs w:val="24"/>
        </w:rPr>
        <w:t xml:space="preserve">Επισημαίνεται ότι υποβολή αίτησης χρηματοδότησης επιτρέπεται είτε μόνο στη «Δράση 1 – Βασικός Ψηφιακός Μετασχηματισμός </w:t>
      </w:r>
      <w:proofErr w:type="spellStart"/>
      <w:r w:rsidRPr="00CB218B">
        <w:rPr>
          <w:rFonts w:ascii="Times New Roman" w:hAnsi="Times New Roman" w:cs="Times New Roman"/>
          <w:b/>
          <w:bCs/>
          <w:sz w:val="24"/>
          <w:szCs w:val="24"/>
        </w:rPr>
        <w:t>ΜμΕ</w:t>
      </w:r>
      <w:proofErr w:type="spellEnd"/>
      <w:r w:rsidRPr="00CB218B">
        <w:rPr>
          <w:rFonts w:ascii="Times New Roman" w:hAnsi="Times New Roman" w:cs="Times New Roman"/>
          <w:b/>
          <w:bCs/>
          <w:sz w:val="24"/>
          <w:szCs w:val="24"/>
        </w:rPr>
        <w:t xml:space="preserve">» είτε μόνο στη «Δράση 2 - Προηγμένος Ψηφιακός Μετασχηματισμός </w:t>
      </w:r>
      <w:proofErr w:type="spellStart"/>
      <w:r w:rsidRPr="00CB218B">
        <w:rPr>
          <w:rFonts w:ascii="Times New Roman" w:hAnsi="Times New Roman" w:cs="Times New Roman"/>
          <w:b/>
          <w:bCs/>
          <w:sz w:val="24"/>
          <w:szCs w:val="24"/>
        </w:rPr>
        <w:t>ΜμΕ</w:t>
      </w:r>
      <w:proofErr w:type="spellEnd"/>
      <w:r w:rsidRPr="00CB218B">
        <w:rPr>
          <w:rFonts w:ascii="Times New Roman" w:hAnsi="Times New Roman" w:cs="Times New Roman"/>
          <w:b/>
          <w:bCs/>
          <w:sz w:val="24"/>
          <w:szCs w:val="24"/>
        </w:rPr>
        <w:t xml:space="preserve">» είτε μόνο στη «Δράση 3 - Ψηφιακός Μετασχηματισμός Αιχμής </w:t>
      </w:r>
      <w:proofErr w:type="spellStart"/>
      <w:r w:rsidRPr="00CB218B">
        <w:rPr>
          <w:rFonts w:ascii="Times New Roman" w:hAnsi="Times New Roman" w:cs="Times New Roman"/>
          <w:b/>
          <w:bCs/>
          <w:sz w:val="24"/>
          <w:szCs w:val="24"/>
        </w:rPr>
        <w:t>ΜμΕ</w:t>
      </w:r>
      <w:proofErr w:type="spellEnd"/>
      <w:r w:rsidRPr="00CB218B">
        <w:rPr>
          <w:rFonts w:ascii="Times New Roman" w:hAnsi="Times New Roman" w:cs="Times New Roman"/>
          <w:b/>
          <w:bCs/>
          <w:sz w:val="24"/>
          <w:szCs w:val="24"/>
        </w:rPr>
        <w:t>».</w:t>
      </w:r>
    </w:p>
    <w:p w14:paraId="388E5D26" w14:textId="77777777" w:rsidR="00D167A0" w:rsidRPr="00CB218B" w:rsidRDefault="00D167A0" w:rsidP="00D167A0">
      <w:pPr>
        <w:pStyle w:val="af0"/>
        <w:spacing w:line="288" w:lineRule="auto"/>
        <w:ind w:left="284" w:right="43"/>
        <w:jc w:val="both"/>
        <w:rPr>
          <w:rFonts w:ascii="Times New Roman" w:hAnsi="Times New Roman" w:cs="Times New Roman"/>
          <w:b/>
          <w:bCs/>
          <w:sz w:val="24"/>
          <w:szCs w:val="24"/>
        </w:rPr>
      </w:pPr>
    </w:p>
    <w:p w14:paraId="0C69EE4D" w14:textId="6AC59267" w:rsidR="003A7925" w:rsidRPr="00CB218B" w:rsidRDefault="003A7925" w:rsidP="002E4BB0">
      <w:pPr>
        <w:pStyle w:val="af0"/>
        <w:spacing w:line="288" w:lineRule="auto"/>
        <w:ind w:left="284" w:right="43"/>
        <w:jc w:val="center"/>
        <w:rPr>
          <w:rFonts w:ascii="Times New Roman" w:hAnsi="Times New Roman" w:cs="Times New Roman"/>
          <w:b/>
          <w:bCs/>
          <w:sz w:val="24"/>
          <w:szCs w:val="24"/>
        </w:rPr>
      </w:pPr>
      <w:r w:rsidRPr="00CB218B">
        <w:rPr>
          <w:rFonts w:ascii="Times New Roman" w:hAnsi="Times New Roman" w:cs="Times New Roman"/>
          <w:b/>
          <w:bCs/>
          <w:sz w:val="24"/>
          <w:szCs w:val="24"/>
        </w:rPr>
        <w:t>ΠΛΗΡΟΦΟΡΙΕΣ-ΔΗΜΟΣΙΟΤΗΤΑ</w:t>
      </w:r>
    </w:p>
    <w:p w14:paraId="56E7C0C9" w14:textId="77777777" w:rsidR="003A7925" w:rsidRPr="00CB218B" w:rsidRDefault="003A7925" w:rsidP="00D167A0">
      <w:pPr>
        <w:pStyle w:val="af0"/>
        <w:spacing w:line="288" w:lineRule="auto"/>
        <w:ind w:left="284" w:right="43"/>
        <w:jc w:val="both"/>
        <w:rPr>
          <w:rFonts w:ascii="Times New Roman" w:hAnsi="Times New Roman" w:cs="Times New Roman"/>
          <w:sz w:val="24"/>
          <w:szCs w:val="24"/>
        </w:rPr>
      </w:pPr>
      <w:r w:rsidRPr="00CB218B">
        <w:rPr>
          <w:rFonts w:ascii="Times New Roman" w:hAnsi="Times New Roman" w:cs="Times New Roman"/>
          <w:sz w:val="24"/>
          <w:szCs w:val="24"/>
        </w:rPr>
        <w:t xml:space="preserve">Οι Δράσεις θα υλοποιηθούν από </w:t>
      </w:r>
      <w:r w:rsidRPr="00CB218B">
        <w:rPr>
          <w:rFonts w:ascii="Times New Roman" w:hAnsi="Times New Roman" w:cs="Times New Roman"/>
          <w:b/>
          <w:bCs/>
          <w:sz w:val="24"/>
          <w:szCs w:val="24"/>
        </w:rPr>
        <w:t xml:space="preserve">την Ειδική Υπηρεσία Διαχείρισης Προγράμματος «Ανταγωνιστικότητα» (ΕΥΔ) - </w:t>
      </w:r>
      <w:r w:rsidRPr="00CB218B">
        <w:rPr>
          <w:rFonts w:ascii="Times New Roman" w:hAnsi="Times New Roman" w:cs="Times New Roman"/>
          <w:sz w:val="24"/>
          <w:szCs w:val="24"/>
        </w:rPr>
        <w:t>για τη Δράση 1 και με τον ΕΦΕΠΑΕ ως Δικαιούχο</w:t>
      </w:r>
      <w:r w:rsidRPr="00CB218B">
        <w:rPr>
          <w:rFonts w:ascii="Times New Roman" w:hAnsi="Times New Roman" w:cs="Times New Roman"/>
          <w:b/>
          <w:bCs/>
          <w:sz w:val="24"/>
          <w:szCs w:val="24"/>
        </w:rPr>
        <w:t xml:space="preserve"> </w:t>
      </w:r>
      <w:r w:rsidRPr="00CB218B">
        <w:rPr>
          <w:rFonts w:ascii="Times New Roman" w:hAnsi="Times New Roman" w:cs="Times New Roman"/>
          <w:sz w:val="24"/>
          <w:szCs w:val="24"/>
        </w:rPr>
        <w:t>κατά την έννοια του άρθρου 2 παρ. 9 α) και δ)του Καν. 2021/1060.</w:t>
      </w:r>
    </w:p>
    <w:p w14:paraId="13DBBD6F" w14:textId="77777777" w:rsidR="003A7925" w:rsidRPr="00CB218B" w:rsidRDefault="003A7925" w:rsidP="00D167A0">
      <w:pPr>
        <w:pStyle w:val="af0"/>
        <w:spacing w:line="288" w:lineRule="auto"/>
        <w:ind w:left="284" w:right="43"/>
        <w:jc w:val="both"/>
        <w:rPr>
          <w:rFonts w:ascii="Times New Roman" w:hAnsi="Times New Roman" w:cs="Times New Roman"/>
          <w:sz w:val="24"/>
          <w:szCs w:val="24"/>
        </w:rPr>
      </w:pPr>
      <w:r w:rsidRPr="00CB218B">
        <w:rPr>
          <w:rFonts w:ascii="Times New Roman" w:hAnsi="Times New Roman" w:cs="Times New Roman"/>
          <w:sz w:val="24"/>
          <w:szCs w:val="24"/>
        </w:rPr>
        <w:t xml:space="preserve">Η δημοσίευση των Αναλυτικών Προσκλήσεων των Δράσεων αναμένεται </w:t>
      </w:r>
      <w:r w:rsidRPr="00CB218B">
        <w:rPr>
          <w:rFonts w:ascii="Times New Roman" w:hAnsi="Times New Roman" w:cs="Times New Roman"/>
          <w:b/>
          <w:bCs/>
          <w:sz w:val="24"/>
          <w:szCs w:val="24"/>
        </w:rPr>
        <w:t>εντός του τρέχοντος έτους</w:t>
      </w:r>
      <w:r w:rsidRPr="00CB218B">
        <w:rPr>
          <w:rFonts w:ascii="Times New Roman" w:hAnsi="Times New Roman" w:cs="Times New Roman"/>
          <w:sz w:val="24"/>
          <w:szCs w:val="24"/>
        </w:rPr>
        <w:t xml:space="preserve"> και η περίοδος υποβολών θα ανακοινωθεί σε αυτήν.</w:t>
      </w:r>
    </w:p>
    <w:p w14:paraId="6FFEF9B4" w14:textId="77777777" w:rsidR="003A7925" w:rsidRPr="00CB218B" w:rsidRDefault="003A7925" w:rsidP="00D167A0">
      <w:pPr>
        <w:pStyle w:val="af0"/>
        <w:spacing w:line="288" w:lineRule="auto"/>
        <w:ind w:left="284" w:right="43"/>
        <w:jc w:val="both"/>
        <w:rPr>
          <w:rFonts w:ascii="Times New Roman" w:hAnsi="Times New Roman" w:cs="Times New Roman"/>
          <w:sz w:val="24"/>
          <w:szCs w:val="24"/>
        </w:rPr>
      </w:pPr>
      <w:r w:rsidRPr="00CB218B">
        <w:rPr>
          <w:rFonts w:ascii="Times New Roman" w:hAnsi="Times New Roman" w:cs="Times New Roman"/>
          <w:sz w:val="24"/>
          <w:szCs w:val="24"/>
        </w:rPr>
        <w:t xml:space="preserve">Οι Προδημοσιεύσεις και οι Προσκλήσεις (καθώς και το σύνολο των εγγράφων που τις συνοδεύουν) του Προγράμματος, θα αναρτηθούν στις ιστοσελίδες της ΕΥΔ </w:t>
      </w:r>
      <w:r w:rsidRPr="00CB218B">
        <w:rPr>
          <w:rFonts w:ascii="Times New Roman" w:hAnsi="Times New Roman" w:cs="Times New Roman"/>
          <w:b/>
          <w:bCs/>
          <w:sz w:val="24"/>
          <w:szCs w:val="24"/>
        </w:rPr>
        <w:t>http://www.antagonistikotita.gr</w:t>
      </w:r>
      <w:r w:rsidRPr="00CB218B">
        <w:rPr>
          <w:rFonts w:ascii="Times New Roman" w:hAnsi="Times New Roman" w:cs="Times New Roman"/>
          <w:sz w:val="24"/>
          <w:szCs w:val="24"/>
        </w:rPr>
        <w:t>, του ΕΣΠΑ www.espa.gr και του www.efepae.gr.</w:t>
      </w:r>
    </w:p>
    <w:p w14:paraId="23BE58F1" w14:textId="77777777" w:rsidR="003A7925" w:rsidRPr="00CB218B" w:rsidRDefault="003A7925" w:rsidP="00D167A0">
      <w:pPr>
        <w:pStyle w:val="af0"/>
        <w:tabs>
          <w:tab w:val="left" w:pos="8222"/>
        </w:tabs>
        <w:spacing w:line="288" w:lineRule="auto"/>
        <w:ind w:left="284" w:right="43"/>
        <w:jc w:val="both"/>
        <w:rPr>
          <w:rFonts w:ascii="Times New Roman" w:hAnsi="Times New Roman" w:cs="Times New Roman"/>
          <w:sz w:val="24"/>
          <w:szCs w:val="24"/>
        </w:rPr>
      </w:pPr>
      <w:r w:rsidRPr="00CB218B">
        <w:rPr>
          <w:rFonts w:ascii="Times New Roman" w:hAnsi="Times New Roman" w:cs="Times New Roman"/>
          <w:sz w:val="24"/>
          <w:szCs w:val="24"/>
        </w:rPr>
        <w:t>E-</w:t>
      </w:r>
      <w:proofErr w:type="spellStart"/>
      <w:r w:rsidRPr="00CB218B">
        <w:rPr>
          <w:rFonts w:ascii="Times New Roman" w:hAnsi="Times New Roman" w:cs="Times New Roman"/>
          <w:sz w:val="24"/>
          <w:szCs w:val="24"/>
        </w:rPr>
        <w:t>mail</w:t>
      </w:r>
      <w:proofErr w:type="spellEnd"/>
      <w:r w:rsidRPr="00CB218B">
        <w:rPr>
          <w:rFonts w:ascii="Times New Roman" w:hAnsi="Times New Roman" w:cs="Times New Roman"/>
          <w:sz w:val="24"/>
          <w:szCs w:val="24"/>
        </w:rPr>
        <w:t xml:space="preserve"> επικοινωνίας: infoepan@mou.gr</w:t>
      </w:r>
    </w:p>
    <w:p w14:paraId="5866D46A" w14:textId="77777777" w:rsidR="003A7925" w:rsidRPr="00CB218B" w:rsidRDefault="003A7925" w:rsidP="00D167A0">
      <w:pPr>
        <w:pStyle w:val="af0"/>
        <w:tabs>
          <w:tab w:val="left" w:pos="8222"/>
        </w:tabs>
        <w:spacing w:line="288" w:lineRule="auto"/>
        <w:ind w:left="284" w:right="43"/>
        <w:jc w:val="both"/>
        <w:rPr>
          <w:rFonts w:ascii="Times New Roman" w:hAnsi="Times New Roman" w:cs="Times New Roman"/>
          <w:sz w:val="24"/>
          <w:szCs w:val="24"/>
        </w:rPr>
      </w:pPr>
      <w:r w:rsidRPr="00CB218B">
        <w:rPr>
          <w:rFonts w:ascii="Times New Roman" w:hAnsi="Times New Roman" w:cs="Times New Roman"/>
          <w:sz w:val="24"/>
          <w:szCs w:val="24"/>
        </w:rPr>
        <w:t>Γραμμή επικοινωνίας: 801 11 36300</w:t>
      </w:r>
    </w:p>
    <w:p w14:paraId="7BEFCF8E" w14:textId="77777777" w:rsidR="003A7925" w:rsidRPr="00CB218B" w:rsidRDefault="003A7925" w:rsidP="003A7925">
      <w:pPr>
        <w:spacing w:after="120" w:line="360" w:lineRule="auto"/>
        <w:rPr>
          <w:rFonts w:ascii="Times New Roman" w:hAnsi="Times New Roman" w:cs="Times New Roman"/>
          <w:b/>
          <w:bCs/>
          <w:sz w:val="24"/>
          <w:szCs w:val="24"/>
        </w:rPr>
      </w:pPr>
      <w:r w:rsidRPr="00CB218B">
        <w:rPr>
          <w:rFonts w:ascii="Times New Roman" w:hAnsi="Times New Roman" w:cs="Times New Roman"/>
          <w:b/>
          <w:bCs/>
          <w:sz w:val="24"/>
          <w:szCs w:val="24"/>
        </w:rPr>
        <w:br w:type="page"/>
      </w:r>
    </w:p>
    <w:p w14:paraId="39FA6DC0" w14:textId="77777777" w:rsidR="003A7925" w:rsidRPr="00D167A0" w:rsidRDefault="003A7925" w:rsidP="00D167A0">
      <w:pPr>
        <w:pStyle w:val="20"/>
        <w:shd w:val="clear" w:color="auto" w:fill="D9D9D9" w:themeFill="background1" w:themeFillShade="D9"/>
        <w:spacing w:before="0" w:after="240" w:line="288" w:lineRule="auto"/>
        <w:ind w:left="284" w:right="323"/>
        <w:jc w:val="center"/>
        <w:rPr>
          <w:rFonts w:ascii="Times New Roman" w:hAnsi="Times New Roman" w:cs="Times New Roman"/>
          <w:b/>
          <w:bCs/>
          <w:color w:val="auto"/>
          <w:sz w:val="24"/>
          <w:szCs w:val="24"/>
        </w:rPr>
      </w:pPr>
      <w:bookmarkStart w:id="2" w:name="_Toc121300672"/>
      <w:bookmarkStart w:id="3" w:name="_Toc122093594"/>
      <w:r>
        <w:rPr>
          <w:rFonts w:ascii="Times New Roman" w:hAnsi="Times New Roman" w:cs="Times New Roman"/>
          <w:b/>
          <w:bCs/>
          <w:color w:val="auto"/>
          <w:sz w:val="24"/>
          <w:szCs w:val="24"/>
        </w:rPr>
        <w:lastRenderedPageBreak/>
        <w:t>Β</w:t>
      </w:r>
      <w:r w:rsidRPr="003D3C95">
        <w:rPr>
          <w:rFonts w:ascii="Times New Roman" w:hAnsi="Times New Roman" w:cs="Times New Roman"/>
          <w:b/>
          <w:bCs/>
          <w:color w:val="auto"/>
          <w:sz w:val="24"/>
          <w:szCs w:val="24"/>
        </w:rPr>
        <w:t xml:space="preserve">. </w:t>
      </w:r>
      <w:r w:rsidRPr="00D167A0">
        <w:rPr>
          <w:rFonts w:ascii="Times New Roman" w:hAnsi="Times New Roman" w:cs="Times New Roman"/>
          <w:b/>
          <w:bCs/>
          <w:color w:val="auto"/>
          <w:sz w:val="24"/>
          <w:szCs w:val="24"/>
        </w:rPr>
        <w:t>Πρόγραμμα Διασυνοριακής Συνεργασίας INTERREG VI-A GREECE-BULGARIA 2021-2027 (2021TC16RFCB021)</w:t>
      </w:r>
      <w:bookmarkEnd w:id="2"/>
      <w:bookmarkEnd w:id="3"/>
    </w:p>
    <w:p w14:paraId="57513FA2" w14:textId="77777777" w:rsidR="003A7925" w:rsidRPr="00CB218B" w:rsidRDefault="003A7925" w:rsidP="00D167A0">
      <w:pPr>
        <w:spacing w:after="120" w:line="288" w:lineRule="auto"/>
        <w:ind w:left="284" w:right="323"/>
        <w:jc w:val="both"/>
        <w:rPr>
          <w:rFonts w:ascii="Times New Roman" w:eastAsia="Calibri" w:hAnsi="Times New Roman" w:cs="Times New Roman"/>
          <w:sz w:val="24"/>
          <w:szCs w:val="24"/>
          <w:lang w:val="pt-BR"/>
        </w:rPr>
      </w:pPr>
      <w:r w:rsidRPr="00CB218B">
        <w:rPr>
          <w:rFonts w:ascii="Times New Roman" w:eastAsia="Calibri" w:hAnsi="Times New Roman" w:cs="Times New Roman"/>
          <w:sz w:val="24"/>
          <w:szCs w:val="24"/>
        </w:rPr>
        <w:t>Εγκρίθηκε από την Ευρωπαϊκή επιτροπή το Πρόγραμμα Διασυνοριακής Συνεργασίας (</w:t>
      </w:r>
      <w:r w:rsidRPr="00CB218B">
        <w:rPr>
          <w:rFonts w:ascii="Times New Roman" w:eastAsia="Calibri" w:hAnsi="Times New Roman" w:cs="Times New Roman"/>
          <w:sz w:val="24"/>
          <w:szCs w:val="24"/>
          <w:lang w:val="en-US"/>
        </w:rPr>
        <w:t>Cross</w:t>
      </w:r>
      <w:r w:rsidRPr="00CB218B">
        <w:rPr>
          <w:rFonts w:ascii="Times New Roman" w:eastAsia="Calibri" w:hAnsi="Times New Roman" w:cs="Times New Roman"/>
          <w:sz w:val="24"/>
          <w:szCs w:val="24"/>
        </w:rPr>
        <w:t>-</w:t>
      </w:r>
      <w:r w:rsidRPr="00CB218B">
        <w:rPr>
          <w:rFonts w:ascii="Times New Roman" w:eastAsia="Calibri" w:hAnsi="Times New Roman" w:cs="Times New Roman"/>
          <w:sz w:val="24"/>
          <w:szCs w:val="24"/>
          <w:lang w:val="en-US"/>
        </w:rPr>
        <w:t>border</w:t>
      </w:r>
      <w:r w:rsidRPr="00CB218B">
        <w:rPr>
          <w:rFonts w:ascii="Times New Roman" w:eastAsia="Calibri" w:hAnsi="Times New Roman" w:cs="Times New Roman"/>
          <w:sz w:val="24"/>
          <w:szCs w:val="24"/>
        </w:rPr>
        <w:t xml:space="preserve"> </w:t>
      </w:r>
      <w:r w:rsidRPr="00CB218B">
        <w:rPr>
          <w:rFonts w:ascii="Times New Roman" w:eastAsia="Calibri" w:hAnsi="Times New Roman" w:cs="Times New Roman"/>
          <w:sz w:val="24"/>
          <w:szCs w:val="24"/>
          <w:lang w:val="en-US"/>
        </w:rPr>
        <w:t>Cooperation</w:t>
      </w:r>
      <w:r w:rsidRPr="00CB218B">
        <w:rPr>
          <w:rFonts w:ascii="Times New Roman" w:eastAsia="Calibri" w:hAnsi="Times New Roman" w:cs="Times New Roman"/>
          <w:sz w:val="24"/>
          <w:szCs w:val="24"/>
        </w:rPr>
        <w:t xml:space="preserve"> </w:t>
      </w:r>
      <w:proofErr w:type="spellStart"/>
      <w:r w:rsidRPr="00CB218B">
        <w:rPr>
          <w:rFonts w:ascii="Times New Roman" w:eastAsia="Calibri" w:hAnsi="Times New Roman" w:cs="Times New Roman"/>
          <w:sz w:val="24"/>
          <w:szCs w:val="24"/>
          <w:lang w:val="en-US"/>
        </w:rPr>
        <w:t>Programme</w:t>
      </w:r>
      <w:proofErr w:type="spellEnd"/>
      <w:r w:rsidRPr="00CB218B">
        <w:rPr>
          <w:rFonts w:ascii="Times New Roman" w:eastAsia="Calibri" w:hAnsi="Times New Roman" w:cs="Times New Roman"/>
          <w:sz w:val="24"/>
          <w:szCs w:val="24"/>
        </w:rPr>
        <w:t xml:space="preserve">) </w:t>
      </w:r>
      <w:r w:rsidRPr="00CB218B">
        <w:rPr>
          <w:rFonts w:ascii="Times New Roman" w:eastAsia="Calibri" w:hAnsi="Times New Roman" w:cs="Times New Roman"/>
          <w:sz w:val="24"/>
          <w:szCs w:val="24"/>
          <w:lang w:val="en-US"/>
        </w:rPr>
        <w:t>INTERREG</w:t>
      </w:r>
      <w:r w:rsidRPr="00CB218B">
        <w:rPr>
          <w:rFonts w:ascii="Times New Roman" w:eastAsia="Calibri" w:hAnsi="Times New Roman" w:cs="Times New Roman"/>
          <w:sz w:val="24"/>
          <w:szCs w:val="24"/>
        </w:rPr>
        <w:t xml:space="preserve"> Ελλάδα-Βουλγαρία της νέας προγραμματικής περιόδου 2021-2027. Το</w:t>
      </w:r>
      <w:r w:rsidRPr="00CB218B">
        <w:rPr>
          <w:rFonts w:ascii="Times New Roman" w:eastAsia="Calibri" w:hAnsi="Times New Roman" w:cs="Times New Roman"/>
          <w:sz w:val="24"/>
          <w:szCs w:val="24"/>
          <w:lang w:val="pt-BR"/>
        </w:rPr>
        <w:t xml:space="preserve"> </w:t>
      </w:r>
      <w:r w:rsidRPr="00CB218B">
        <w:rPr>
          <w:rFonts w:ascii="Times New Roman" w:eastAsia="Calibri" w:hAnsi="Times New Roman" w:cs="Times New Roman"/>
          <w:sz w:val="24"/>
          <w:szCs w:val="24"/>
        </w:rPr>
        <w:t>πρόγραμμα</w:t>
      </w:r>
      <w:r w:rsidRPr="00CB218B">
        <w:rPr>
          <w:rFonts w:ascii="Times New Roman" w:eastAsia="Calibri" w:hAnsi="Times New Roman" w:cs="Times New Roman"/>
          <w:sz w:val="24"/>
          <w:szCs w:val="24"/>
          <w:lang w:val="pt-BR"/>
        </w:rPr>
        <w:t xml:space="preserve"> Interreg VI-A Greece – Bulgaria Programme 2021-2027 </w:t>
      </w:r>
      <w:r w:rsidRPr="00CB218B">
        <w:rPr>
          <w:rFonts w:ascii="Times New Roman" w:eastAsia="Calibri" w:hAnsi="Times New Roman" w:cs="Times New Roman"/>
          <w:sz w:val="24"/>
          <w:szCs w:val="24"/>
        </w:rPr>
        <w:t>θα</w:t>
      </w:r>
      <w:r w:rsidRPr="00CB218B">
        <w:rPr>
          <w:rFonts w:ascii="Times New Roman" w:eastAsia="Calibri" w:hAnsi="Times New Roman" w:cs="Times New Roman"/>
          <w:sz w:val="24"/>
          <w:szCs w:val="24"/>
          <w:lang w:val="pt-BR"/>
        </w:rPr>
        <w:t xml:space="preserve"> </w:t>
      </w:r>
      <w:r w:rsidRPr="00CB218B">
        <w:rPr>
          <w:rFonts w:ascii="Times New Roman" w:eastAsia="Calibri" w:hAnsi="Times New Roman" w:cs="Times New Roman"/>
          <w:sz w:val="24"/>
          <w:szCs w:val="24"/>
        </w:rPr>
        <w:t>υλοποιηθεί</w:t>
      </w:r>
      <w:r w:rsidRPr="00CB218B">
        <w:rPr>
          <w:rFonts w:ascii="Times New Roman" w:eastAsia="Calibri" w:hAnsi="Times New Roman" w:cs="Times New Roman"/>
          <w:sz w:val="24"/>
          <w:szCs w:val="24"/>
          <w:lang w:val="pt-BR"/>
        </w:rPr>
        <w:t>:</w:t>
      </w:r>
    </w:p>
    <w:p w14:paraId="6302FE5E" w14:textId="77777777" w:rsidR="003A7925" w:rsidRPr="00CB218B" w:rsidRDefault="003A7925" w:rsidP="00D167A0">
      <w:pPr>
        <w:spacing w:after="120" w:line="288" w:lineRule="auto"/>
        <w:ind w:left="284" w:right="323"/>
        <w:jc w:val="both"/>
        <w:rPr>
          <w:rFonts w:ascii="Times New Roman" w:eastAsia="Calibri" w:hAnsi="Times New Roman" w:cs="Times New Roman"/>
          <w:b/>
          <w:bCs/>
          <w:sz w:val="24"/>
          <w:szCs w:val="24"/>
        </w:rPr>
      </w:pPr>
      <w:r w:rsidRPr="00CB218B">
        <w:rPr>
          <w:rFonts w:ascii="Times New Roman" w:eastAsia="Calibri" w:hAnsi="Times New Roman" w:cs="Times New Roman"/>
          <w:sz w:val="24"/>
          <w:szCs w:val="24"/>
        </w:rPr>
        <w:t xml:space="preserve">Σε επτά (7) Ελληνικές Περιφερειακές Ενότητες: Έβρος, Ξάνθη, Ροδόπη, Δράμα, Καβάλα της Περιφέρειας Ανατολικής Μακεδονίας και Θράκης και Σέρρες και </w:t>
      </w:r>
      <w:r w:rsidRPr="00CB218B">
        <w:rPr>
          <w:rFonts w:ascii="Times New Roman" w:eastAsia="Calibri" w:hAnsi="Times New Roman" w:cs="Times New Roman"/>
          <w:b/>
          <w:bCs/>
          <w:sz w:val="24"/>
          <w:szCs w:val="24"/>
        </w:rPr>
        <w:t xml:space="preserve">Θεσσαλονίκης της Περιφέρειας Κεντρικής Μακεδονίας. </w:t>
      </w:r>
    </w:p>
    <w:p w14:paraId="04E55829" w14:textId="77777777" w:rsidR="003A7925" w:rsidRPr="00CB218B" w:rsidRDefault="003A7925" w:rsidP="00D167A0">
      <w:pPr>
        <w:spacing w:after="120" w:line="288" w:lineRule="auto"/>
        <w:ind w:left="284" w:right="323"/>
        <w:jc w:val="both"/>
        <w:rPr>
          <w:rFonts w:ascii="Times New Roman" w:eastAsia="Calibri" w:hAnsi="Times New Roman" w:cs="Times New Roman"/>
          <w:sz w:val="24"/>
          <w:szCs w:val="24"/>
        </w:rPr>
      </w:pPr>
      <w:r w:rsidRPr="00CB218B">
        <w:rPr>
          <w:rFonts w:ascii="Times New Roman" w:eastAsia="Calibri" w:hAnsi="Times New Roman" w:cs="Times New Roman"/>
          <w:sz w:val="24"/>
          <w:szCs w:val="24"/>
        </w:rPr>
        <w:t xml:space="preserve">Σε τέσσερις (4) Βουλγαρικές Περιφέρειες: </w:t>
      </w:r>
      <w:r w:rsidRPr="00CB218B">
        <w:rPr>
          <w:rFonts w:ascii="Times New Roman" w:eastAsia="Calibri" w:hAnsi="Times New Roman" w:cs="Times New Roman"/>
          <w:sz w:val="24"/>
          <w:szCs w:val="24"/>
          <w:lang w:val="en-US"/>
        </w:rPr>
        <w:t>Blagoevgrad</w:t>
      </w:r>
      <w:r w:rsidRPr="00CB218B">
        <w:rPr>
          <w:rFonts w:ascii="Times New Roman" w:eastAsia="Calibri" w:hAnsi="Times New Roman" w:cs="Times New Roman"/>
          <w:sz w:val="24"/>
          <w:szCs w:val="24"/>
        </w:rPr>
        <w:t xml:space="preserve">, </w:t>
      </w:r>
      <w:proofErr w:type="spellStart"/>
      <w:r w:rsidRPr="00CB218B">
        <w:rPr>
          <w:rFonts w:ascii="Times New Roman" w:eastAsia="Calibri" w:hAnsi="Times New Roman" w:cs="Times New Roman"/>
          <w:sz w:val="24"/>
          <w:szCs w:val="24"/>
          <w:lang w:val="en-US"/>
        </w:rPr>
        <w:t>Haskovo</w:t>
      </w:r>
      <w:proofErr w:type="spellEnd"/>
      <w:r w:rsidRPr="00CB218B">
        <w:rPr>
          <w:rFonts w:ascii="Times New Roman" w:eastAsia="Calibri" w:hAnsi="Times New Roman" w:cs="Times New Roman"/>
          <w:sz w:val="24"/>
          <w:szCs w:val="24"/>
        </w:rPr>
        <w:t xml:space="preserve">, </w:t>
      </w:r>
      <w:proofErr w:type="spellStart"/>
      <w:r w:rsidRPr="00CB218B">
        <w:rPr>
          <w:rFonts w:ascii="Times New Roman" w:eastAsia="Calibri" w:hAnsi="Times New Roman" w:cs="Times New Roman"/>
          <w:sz w:val="24"/>
          <w:szCs w:val="24"/>
          <w:lang w:val="en-US"/>
        </w:rPr>
        <w:t>Smolyan</w:t>
      </w:r>
      <w:proofErr w:type="spellEnd"/>
      <w:r w:rsidRPr="00CB218B">
        <w:rPr>
          <w:rFonts w:ascii="Times New Roman" w:eastAsia="Calibri" w:hAnsi="Times New Roman" w:cs="Times New Roman"/>
          <w:sz w:val="24"/>
          <w:szCs w:val="24"/>
        </w:rPr>
        <w:t xml:space="preserve">, </w:t>
      </w:r>
      <w:proofErr w:type="spellStart"/>
      <w:r w:rsidRPr="00CB218B">
        <w:rPr>
          <w:rFonts w:ascii="Times New Roman" w:eastAsia="Calibri" w:hAnsi="Times New Roman" w:cs="Times New Roman"/>
          <w:sz w:val="24"/>
          <w:szCs w:val="24"/>
          <w:lang w:val="en-US"/>
        </w:rPr>
        <w:t>Kardzhali</w:t>
      </w:r>
      <w:proofErr w:type="spellEnd"/>
      <w:r w:rsidRPr="00CB218B">
        <w:rPr>
          <w:rFonts w:ascii="Times New Roman" w:eastAsia="Calibri" w:hAnsi="Times New Roman" w:cs="Times New Roman"/>
          <w:sz w:val="24"/>
          <w:szCs w:val="24"/>
        </w:rPr>
        <w:t>.</w:t>
      </w:r>
    </w:p>
    <w:p w14:paraId="6D73C19B" w14:textId="77777777" w:rsidR="003A7925" w:rsidRPr="00CB218B" w:rsidRDefault="003A7925" w:rsidP="00D167A0">
      <w:pPr>
        <w:spacing w:after="120" w:line="288" w:lineRule="auto"/>
        <w:ind w:left="284" w:right="323"/>
        <w:jc w:val="both"/>
        <w:rPr>
          <w:rFonts w:ascii="Times New Roman" w:eastAsia="Calibri" w:hAnsi="Times New Roman" w:cs="Times New Roman"/>
          <w:sz w:val="24"/>
          <w:szCs w:val="24"/>
        </w:rPr>
      </w:pPr>
      <w:r w:rsidRPr="00CB218B">
        <w:rPr>
          <w:rFonts w:ascii="Times New Roman" w:eastAsia="Calibri" w:hAnsi="Times New Roman" w:cs="Times New Roman"/>
          <w:sz w:val="24"/>
          <w:szCs w:val="24"/>
        </w:rPr>
        <w:t>Στη συνέχεια αναφέρονται οι προτεραιότητες και οι ειδικοί στόχοι του προγράμματος, τα είδη των προσκλήσεων και τέλος οι δικαιούχοι που προβλέπεται να χρηματοδοτηθούν:</w:t>
      </w:r>
    </w:p>
    <w:p w14:paraId="0CD757AA" w14:textId="77777777" w:rsidR="003A7925" w:rsidRPr="00CB218B" w:rsidRDefault="003A7925" w:rsidP="00D167A0">
      <w:pPr>
        <w:spacing w:after="120" w:line="288" w:lineRule="auto"/>
        <w:ind w:left="284" w:right="323"/>
        <w:jc w:val="both"/>
        <w:rPr>
          <w:rFonts w:ascii="Times New Roman" w:eastAsia="Calibri" w:hAnsi="Times New Roman" w:cs="Times New Roman"/>
          <w:sz w:val="24"/>
          <w:szCs w:val="24"/>
        </w:rPr>
      </w:pPr>
      <w:r w:rsidRPr="00CB218B">
        <w:rPr>
          <w:rFonts w:ascii="Times New Roman" w:eastAsia="Calibri" w:hAnsi="Times New Roman" w:cs="Times New Roman"/>
          <w:b/>
          <w:bCs/>
          <w:sz w:val="24"/>
          <w:szCs w:val="24"/>
        </w:rPr>
        <w:t>Προτεραιότητα 1</w:t>
      </w:r>
      <w:r w:rsidRPr="00CB218B">
        <w:rPr>
          <w:rFonts w:ascii="Times New Roman" w:eastAsia="Calibri" w:hAnsi="Times New Roman" w:cs="Times New Roman"/>
          <w:b/>
          <w:bCs/>
          <w:sz w:val="24"/>
          <w:szCs w:val="24"/>
          <w:vertAlign w:val="superscript"/>
        </w:rPr>
        <w:t>η</w:t>
      </w:r>
      <w:r w:rsidRPr="00CB218B">
        <w:rPr>
          <w:rFonts w:ascii="Times New Roman" w:eastAsia="Calibri" w:hAnsi="Times New Roman" w:cs="Times New Roman"/>
          <w:sz w:val="24"/>
          <w:szCs w:val="24"/>
        </w:rPr>
        <w:t>: Μια πιο ανθεκτική και πιο πράσινη διασυνοριακή περιοχή</w:t>
      </w:r>
    </w:p>
    <w:p w14:paraId="3C4ACE14" w14:textId="77777777" w:rsidR="003A7925" w:rsidRPr="00CB218B" w:rsidRDefault="003A7925" w:rsidP="00CB218B">
      <w:pPr>
        <w:numPr>
          <w:ilvl w:val="0"/>
          <w:numId w:val="11"/>
        </w:numPr>
        <w:autoSpaceDN w:val="0"/>
        <w:spacing w:after="120" w:line="288" w:lineRule="auto"/>
        <w:ind w:left="851" w:right="323"/>
        <w:jc w:val="both"/>
        <w:rPr>
          <w:rFonts w:ascii="Times New Roman" w:eastAsia="Calibri" w:hAnsi="Times New Roman" w:cs="Times New Roman"/>
          <w:b/>
          <w:bCs/>
          <w:sz w:val="24"/>
          <w:szCs w:val="24"/>
        </w:rPr>
      </w:pPr>
      <w:r w:rsidRPr="00CB218B">
        <w:rPr>
          <w:rFonts w:ascii="Times New Roman" w:eastAsia="Calibri" w:hAnsi="Times New Roman" w:cs="Times New Roman"/>
          <w:b/>
          <w:bCs/>
          <w:sz w:val="24"/>
          <w:szCs w:val="24"/>
        </w:rPr>
        <w:t xml:space="preserve">Ειδικός στόχος </w:t>
      </w:r>
      <w:r w:rsidRPr="00CB218B">
        <w:rPr>
          <w:rFonts w:ascii="Times New Roman" w:eastAsia="Calibri" w:hAnsi="Times New Roman" w:cs="Times New Roman"/>
          <w:b/>
          <w:bCs/>
          <w:sz w:val="24"/>
          <w:szCs w:val="24"/>
          <w:lang w:val="en-US"/>
        </w:rPr>
        <w:t>RSO</w:t>
      </w:r>
      <w:r w:rsidRPr="00CB218B">
        <w:rPr>
          <w:rFonts w:ascii="Times New Roman" w:eastAsia="Calibri" w:hAnsi="Times New Roman" w:cs="Times New Roman"/>
          <w:b/>
          <w:bCs/>
          <w:sz w:val="24"/>
          <w:szCs w:val="24"/>
        </w:rPr>
        <w:t>2.4: Προώθηση της προσαρμογής στην κλιματική αλλαγή και της ανθεκτικότητας και της πρόληψης του κινδύνου καταστροφών, λαμβάνοντας υπόψη προσεγγίσεις που βασίζονται στα οικοσυστήματα</w:t>
      </w:r>
    </w:p>
    <w:p w14:paraId="1CD0AD62"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proofErr w:type="spellStart"/>
      <w:r w:rsidRPr="00CB218B">
        <w:rPr>
          <w:rFonts w:ascii="Times New Roman" w:eastAsia="Calibri" w:hAnsi="Times New Roman" w:cs="Times New Roman"/>
          <w:sz w:val="24"/>
          <w:szCs w:val="24"/>
          <w:u w:val="single"/>
        </w:rPr>
        <w:t>Στοχευμένες</w:t>
      </w:r>
      <w:proofErr w:type="spellEnd"/>
      <w:r w:rsidRPr="00CB218B">
        <w:rPr>
          <w:rFonts w:ascii="Times New Roman" w:eastAsia="Calibri" w:hAnsi="Times New Roman" w:cs="Times New Roman"/>
          <w:sz w:val="24"/>
          <w:szCs w:val="24"/>
          <w:u w:val="single"/>
        </w:rPr>
        <w:t xml:space="preserve"> προσκλήσεις:</w:t>
      </w:r>
      <w:r w:rsidRPr="00CB218B">
        <w:rPr>
          <w:rFonts w:ascii="Times New Roman" w:eastAsia="Calibri" w:hAnsi="Times New Roman" w:cs="Times New Roman"/>
          <w:sz w:val="24"/>
          <w:szCs w:val="24"/>
        </w:rPr>
        <w:t xml:space="preserve"> Κεφαλαιοποίηση των αποτελεσμάτων και πιθανή διεύρυνση της περιοχής παρέμβασης των έργων που πραγματοποιήθηκαν κατά την προγραμματική περίοδο 2014-2020 και συγκεκριμένα των:</w:t>
      </w:r>
    </w:p>
    <w:p w14:paraId="0C985375"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sz w:val="24"/>
          <w:szCs w:val="24"/>
          <w:lang w:val="en-US"/>
        </w:rPr>
        <w:t>FLOOD</w:t>
      </w:r>
      <w:r w:rsidRPr="00CB218B">
        <w:rPr>
          <w:rFonts w:ascii="Times New Roman" w:eastAsia="Calibri" w:hAnsi="Times New Roman" w:cs="Times New Roman"/>
          <w:sz w:val="24"/>
          <w:szCs w:val="24"/>
        </w:rPr>
        <w:t xml:space="preserve"> </w:t>
      </w:r>
      <w:r w:rsidRPr="00CB218B">
        <w:rPr>
          <w:rFonts w:ascii="Times New Roman" w:eastAsia="Calibri" w:hAnsi="Times New Roman" w:cs="Times New Roman"/>
          <w:sz w:val="24"/>
          <w:szCs w:val="24"/>
          <w:lang w:val="en-US"/>
        </w:rPr>
        <w:t>GUARD</w:t>
      </w:r>
      <w:r w:rsidRPr="00CB218B">
        <w:rPr>
          <w:rFonts w:ascii="Times New Roman" w:eastAsia="Calibri" w:hAnsi="Times New Roman" w:cs="Times New Roman"/>
          <w:sz w:val="24"/>
          <w:szCs w:val="24"/>
        </w:rPr>
        <w:t>: Αύξηση της ικανότητας ανταπόκρισης σε καταστροφές και επείγουσες καταστάσεις στην διασυνοριακή περιοχή Ελλάδας-Βουλγαρίας</w:t>
      </w:r>
    </w:p>
    <w:p w14:paraId="4AC67496"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sz w:val="24"/>
          <w:szCs w:val="24"/>
          <w:lang w:val="en-US"/>
        </w:rPr>
        <w:t>FLOOD</w:t>
      </w:r>
      <w:r w:rsidRPr="00CB218B">
        <w:rPr>
          <w:rFonts w:ascii="Times New Roman" w:eastAsia="Calibri" w:hAnsi="Times New Roman" w:cs="Times New Roman"/>
          <w:sz w:val="24"/>
          <w:szCs w:val="24"/>
        </w:rPr>
        <w:t xml:space="preserve"> </w:t>
      </w:r>
      <w:r w:rsidRPr="00CB218B">
        <w:rPr>
          <w:rFonts w:ascii="Times New Roman" w:eastAsia="Calibri" w:hAnsi="Times New Roman" w:cs="Times New Roman"/>
          <w:sz w:val="24"/>
          <w:szCs w:val="24"/>
          <w:lang w:val="en-US"/>
        </w:rPr>
        <w:t>PROTECTION</w:t>
      </w:r>
      <w:r w:rsidRPr="00CB218B">
        <w:rPr>
          <w:rFonts w:ascii="Times New Roman" w:eastAsia="Calibri" w:hAnsi="Times New Roman" w:cs="Times New Roman"/>
          <w:sz w:val="24"/>
          <w:szCs w:val="24"/>
        </w:rPr>
        <w:t>: Εγκατάσταση εντοπισμού και συστημάτων έγκαιρης προειδοποίησης για διαρροές της λεκάνης απορροής ποταμών.</w:t>
      </w:r>
    </w:p>
    <w:p w14:paraId="3A738A77"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sz w:val="24"/>
          <w:szCs w:val="24"/>
          <w:u w:val="single"/>
        </w:rPr>
        <w:t>Δικαιούχοι</w:t>
      </w:r>
      <w:r w:rsidRPr="00CB218B">
        <w:rPr>
          <w:rFonts w:ascii="Times New Roman" w:eastAsia="Calibri" w:hAnsi="Times New Roman" w:cs="Times New Roman"/>
          <w:sz w:val="24"/>
          <w:szCs w:val="24"/>
        </w:rPr>
        <w:t xml:space="preserve">: Εθνικές και περιφερειακές δημόσιες αρχές που έχουν νομικές αρμοδιότητες όσον αφορά τις σχετικές εθνικές και περιφερειακές πολιτικές. </w:t>
      </w:r>
    </w:p>
    <w:p w14:paraId="7D93C740" w14:textId="77777777" w:rsidR="003A7925" w:rsidRPr="00CB218B" w:rsidRDefault="003A7925" w:rsidP="00CB218B">
      <w:pPr>
        <w:numPr>
          <w:ilvl w:val="0"/>
          <w:numId w:val="11"/>
        </w:numPr>
        <w:autoSpaceDN w:val="0"/>
        <w:spacing w:after="120" w:line="288" w:lineRule="auto"/>
        <w:ind w:left="851" w:right="323"/>
        <w:jc w:val="both"/>
        <w:rPr>
          <w:rFonts w:ascii="Times New Roman" w:eastAsia="Calibri" w:hAnsi="Times New Roman" w:cs="Times New Roman"/>
          <w:b/>
          <w:bCs/>
          <w:sz w:val="24"/>
          <w:szCs w:val="24"/>
        </w:rPr>
      </w:pPr>
      <w:r w:rsidRPr="00CB218B">
        <w:rPr>
          <w:rFonts w:ascii="Times New Roman" w:eastAsia="Calibri" w:hAnsi="Times New Roman" w:cs="Times New Roman"/>
          <w:b/>
          <w:bCs/>
          <w:sz w:val="24"/>
          <w:szCs w:val="24"/>
        </w:rPr>
        <w:t xml:space="preserve">Ειδικός στόχος </w:t>
      </w:r>
      <w:r w:rsidRPr="00CB218B">
        <w:rPr>
          <w:rFonts w:ascii="Times New Roman" w:eastAsia="Calibri" w:hAnsi="Times New Roman" w:cs="Times New Roman"/>
          <w:b/>
          <w:bCs/>
          <w:sz w:val="24"/>
          <w:szCs w:val="24"/>
          <w:lang w:val="en-GB"/>
        </w:rPr>
        <w:t>RSO</w:t>
      </w:r>
      <w:r w:rsidRPr="00CB218B">
        <w:rPr>
          <w:rFonts w:ascii="Times New Roman" w:eastAsia="Calibri" w:hAnsi="Times New Roman" w:cs="Times New Roman"/>
          <w:b/>
          <w:bCs/>
          <w:sz w:val="24"/>
          <w:szCs w:val="24"/>
        </w:rPr>
        <w:t>2.6: Προαγωγή της μετάβασης στην κυκλική οικονομία και στην αποδοτική ως προς τους πόρους οικονομία</w:t>
      </w:r>
    </w:p>
    <w:p w14:paraId="294FE228"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proofErr w:type="spellStart"/>
      <w:r w:rsidRPr="00CB218B">
        <w:rPr>
          <w:rFonts w:ascii="Times New Roman" w:eastAsia="Calibri" w:hAnsi="Times New Roman" w:cs="Times New Roman"/>
          <w:sz w:val="24"/>
          <w:szCs w:val="24"/>
          <w:u w:val="single"/>
        </w:rPr>
        <w:t>Στοχευμένες</w:t>
      </w:r>
      <w:proofErr w:type="spellEnd"/>
      <w:r w:rsidRPr="00CB218B">
        <w:rPr>
          <w:rFonts w:ascii="Times New Roman" w:eastAsia="Calibri" w:hAnsi="Times New Roman" w:cs="Times New Roman"/>
          <w:sz w:val="24"/>
          <w:szCs w:val="24"/>
          <w:u w:val="single"/>
        </w:rPr>
        <w:t xml:space="preserve"> προσκλήσεις:</w:t>
      </w:r>
      <w:r w:rsidRPr="00CB218B">
        <w:rPr>
          <w:rFonts w:ascii="Times New Roman" w:eastAsia="Calibri" w:hAnsi="Times New Roman" w:cs="Times New Roman"/>
          <w:b/>
          <w:bCs/>
          <w:sz w:val="24"/>
          <w:szCs w:val="24"/>
        </w:rPr>
        <w:t xml:space="preserve"> </w:t>
      </w:r>
      <w:r w:rsidRPr="00CB218B">
        <w:rPr>
          <w:rFonts w:ascii="Times New Roman" w:eastAsia="Calibri" w:hAnsi="Times New Roman" w:cs="Times New Roman"/>
          <w:sz w:val="24"/>
          <w:szCs w:val="24"/>
        </w:rPr>
        <w:t xml:space="preserve">Άμεση υποστήριξη των </w:t>
      </w:r>
      <w:proofErr w:type="spellStart"/>
      <w:r w:rsidRPr="00CB218B">
        <w:rPr>
          <w:rFonts w:ascii="Times New Roman" w:eastAsia="Calibri" w:hAnsi="Times New Roman" w:cs="Times New Roman"/>
          <w:sz w:val="24"/>
          <w:szCs w:val="24"/>
        </w:rPr>
        <w:t>ΜμΕ</w:t>
      </w:r>
      <w:proofErr w:type="spellEnd"/>
      <w:r w:rsidRPr="00CB218B">
        <w:rPr>
          <w:rFonts w:ascii="Times New Roman" w:eastAsia="Calibri" w:hAnsi="Times New Roman" w:cs="Times New Roman"/>
          <w:sz w:val="24"/>
          <w:szCs w:val="24"/>
        </w:rPr>
        <w:t xml:space="preserve"> να μεταβούν σε πράσινα και κυκλικά επιχειρηματικά μοντέλα. Το πρόγραμμα έχει ως στόχο να στηρίξει κυρίως πολύ μικρές και μικρές επιχειρήσεις (που έχουν περιορισμένη πρόσβαση σε μεγάλα χρηματοοικονομικά εργαλεία) </w:t>
      </w:r>
      <w:r w:rsidRPr="00CB218B">
        <w:rPr>
          <w:rFonts w:ascii="Times New Roman" w:eastAsia="Calibri" w:hAnsi="Times New Roman" w:cs="Times New Roman"/>
          <w:sz w:val="24"/>
          <w:szCs w:val="24"/>
        </w:rPr>
        <w:lastRenderedPageBreak/>
        <w:t xml:space="preserve">προκειμένου να επενδύσουν σε υποδομές μικρής κλίμακας, ανακαίνιση, εξοπλισμό, αναβάθμιση δεξιοτήτων και ψηφιακές εφαρμογές εστιασμένες στην αποδοτικότητα πόρων και την μείωση παραγωγής αποβλήτων. </w:t>
      </w:r>
    </w:p>
    <w:p w14:paraId="78A3CE67"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u w:val="single"/>
        </w:rPr>
      </w:pPr>
      <w:r w:rsidRPr="00CB218B">
        <w:rPr>
          <w:rFonts w:ascii="Times New Roman" w:eastAsia="Calibri" w:hAnsi="Times New Roman" w:cs="Times New Roman"/>
          <w:sz w:val="24"/>
          <w:szCs w:val="24"/>
          <w:u w:val="single"/>
        </w:rPr>
        <w:t>Δικαιούχοι</w:t>
      </w:r>
      <w:r w:rsidRPr="00CB218B">
        <w:rPr>
          <w:rFonts w:ascii="Times New Roman" w:eastAsia="Calibri" w:hAnsi="Times New Roman" w:cs="Times New Roman"/>
          <w:sz w:val="24"/>
          <w:szCs w:val="24"/>
        </w:rPr>
        <w:t xml:space="preserve">: Μικρομεσαίες επιχειρήσεις </w:t>
      </w:r>
    </w:p>
    <w:p w14:paraId="3F323643"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b/>
          <w:bCs/>
          <w:sz w:val="24"/>
          <w:szCs w:val="24"/>
        </w:rPr>
        <w:t>Ανοιχτές προσκλήσεις:</w:t>
      </w:r>
      <w:r w:rsidRPr="00CB218B">
        <w:rPr>
          <w:rFonts w:ascii="Times New Roman" w:eastAsia="Calibri" w:hAnsi="Times New Roman" w:cs="Times New Roman"/>
          <w:sz w:val="24"/>
          <w:szCs w:val="24"/>
        </w:rPr>
        <w:t xml:space="preserve"> Προώθηση της κυκλικής οικονομίας στην διασυνοριακή περιοχή Ελλάδας-Βουλγαρίας. Ενδεικτικές δράσεις είναι: Δημιουργία και λειτουργία αγορών χρησιμοποιημένων προϊόντων, Πρωτοβουλίες βιομηχανικής συμβίωσης, διαχείριση απορριμμάτων και προώθηση της αποδοτικότητας πόρων, συνεργασία ερευνητικών κέντρων και ΜΜΕ για την προώθηση της οικολογικής καινοτομίας, το σχεδιασμό βιώσιμων υλικών, φιλικών προς το περιβάλλον προϊόντων που βασίζονται σε τοπικούς πόρους ή παραδοσιακά προϊόντα.</w:t>
      </w:r>
    </w:p>
    <w:p w14:paraId="04587119"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sz w:val="24"/>
          <w:szCs w:val="24"/>
          <w:u w:val="single"/>
        </w:rPr>
        <w:t>Δικαιούχοι</w:t>
      </w:r>
      <w:r w:rsidRPr="00CB218B">
        <w:rPr>
          <w:rFonts w:ascii="Times New Roman" w:eastAsia="Calibri" w:hAnsi="Times New Roman" w:cs="Times New Roman"/>
          <w:sz w:val="24"/>
          <w:szCs w:val="24"/>
        </w:rPr>
        <w:t>: Οποιαδήποτε νομική οντότητα συμβάλλει στις ανωτέρω δράσεις, π.χ. τοπικές, περιφερειακές και εθνικές δημόσιες αρχές και τομεακές υπηρεσίες, ιδίως στον τομέα του περιβάλλοντος, τη διαχείριση των πόρων και αποβλήτων, επιχειρήσεις, συμπεριλαμβανομένων των ΜΜΕ, επιχειρηματικές και επαγγελματικές ενώσεις, οργανισμοί έρευνας και τριτοβάθμιας εκπαίδευσης, Ευρωπαϊκοί Όμιλοι Εδαφικής Συνεργασίας (ΕΟΕΣ) και ΜΚΟ</w:t>
      </w:r>
    </w:p>
    <w:p w14:paraId="4FF78DDE" w14:textId="77777777" w:rsidR="003A7925" w:rsidRPr="00CB218B" w:rsidRDefault="003A7925" w:rsidP="00CB218B">
      <w:pPr>
        <w:numPr>
          <w:ilvl w:val="0"/>
          <w:numId w:val="11"/>
        </w:numPr>
        <w:autoSpaceDN w:val="0"/>
        <w:spacing w:after="120" w:line="288" w:lineRule="auto"/>
        <w:ind w:left="851" w:right="323"/>
        <w:jc w:val="both"/>
        <w:rPr>
          <w:rFonts w:ascii="Times New Roman" w:eastAsia="Calibri" w:hAnsi="Times New Roman" w:cs="Times New Roman"/>
          <w:b/>
          <w:bCs/>
          <w:sz w:val="24"/>
          <w:szCs w:val="24"/>
        </w:rPr>
      </w:pPr>
      <w:r w:rsidRPr="00CB218B">
        <w:rPr>
          <w:rFonts w:ascii="Times New Roman" w:eastAsia="Calibri" w:hAnsi="Times New Roman" w:cs="Times New Roman"/>
          <w:b/>
          <w:bCs/>
          <w:sz w:val="24"/>
          <w:szCs w:val="24"/>
        </w:rPr>
        <w:t xml:space="preserve">Ειδικός στόχος </w:t>
      </w:r>
      <w:r w:rsidRPr="00CB218B">
        <w:rPr>
          <w:rFonts w:ascii="Times New Roman" w:eastAsia="Calibri" w:hAnsi="Times New Roman" w:cs="Times New Roman"/>
          <w:b/>
          <w:bCs/>
          <w:sz w:val="24"/>
          <w:szCs w:val="24"/>
          <w:lang w:val="en-GB"/>
        </w:rPr>
        <w:t>RSO</w:t>
      </w:r>
      <w:r w:rsidRPr="00CB218B">
        <w:rPr>
          <w:rFonts w:ascii="Times New Roman" w:eastAsia="Calibri" w:hAnsi="Times New Roman" w:cs="Times New Roman"/>
          <w:b/>
          <w:bCs/>
          <w:sz w:val="24"/>
          <w:szCs w:val="24"/>
        </w:rPr>
        <w:t>2.7: Ενίσχυση της προστασίας και της διατήρησης της φύσης, της βιοποικιλότητας και των πράσινων υποδομών, μεταξύ άλλων σε αστικές περιοχές, και μείωση όλων των μορφών ρύπανσης</w:t>
      </w:r>
    </w:p>
    <w:p w14:paraId="670A69EB"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b/>
          <w:bCs/>
          <w:sz w:val="24"/>
          <w:szCs w:val="24"/>
        </w:rPr>
        <w:t xml:space="preserve">Ανοιχτή πρόσκληση: </w:t>
      </w:r>
      <w:r w:rsidRPr="00CB218B">
        <w:rPr>
          <w:rFonts w:ascii="Times New Roman" w:eastAsia="Calibri" w:hAnsi="Times New Roman" w:cs="Times New Roman"/>
          <w:sz w:val="24"/>
          <w:szCs w:val="24"/>
        </w:rPr>
        <w:t xml:space="preserve">Παρακολούθηση, σχεδιασμός και ανάπτυξη πράσινων υποδομών για την υποστήριξη της λειτουργίας των οικολογικών διαδρομών στη διασυνοριακή περιοχή και της ποιότητας ζωής, συμπεριλαμβανομένης της </w:t>
      </w:r>
      <w:proofErr w:type="spellStart"/>
      <w:r w:rsidRPr="00CB218B">
        <w:rPr>
          <w:rFonts w:ascii="Times New Roman" w:eastAsia="Calibri" w:hAnsi="Times New Roman" w:cs="Times New Roman"/>
          <w:sz w:val="24"/>
          <w:szCs w:val="24"/>
        </w:rPr>
        <w:t>ψηφιοποίησης</w:t>
      </w:r>
      <w:proofErr w:type="spellEnd"/>
      <w:r w:rsidRPr="00CB218B">
        <w:rPr>
          <w:rFonts w:ascii="Times New Roman" w:eastAsia="Calibri" w:hAnsi="Times New Roman" w:cs="Times New Roman"/>
          <w:sz w:val="24"/>
          <w:szCs w:val="24"/>
        </w:rPr>
        <w:t xml:space="preserve"> συστημάτων προστασίας και προώθηση της βιοποικιλότητας και φιλικών προς το περιβάλλον πρακτικών.</w:t>
      </w:r>
    </w:p>
    <w:p w14:paraId="158E4845"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sz w:val="24"/>
          <w:szCs w:val="24"/>
          <w:u w:val="single"/>
        </w:rPr>
        <w:t>Δικαιούχοι</w:t>
      </w:r>
      <w:r w:rsidRPr="00CB218B">
        <w:rPr>
          <w:rFonts w:ascii="Times New Roman" w:eastAsia="Calibri" w:hAnsi="Times New Roman" w:cs="Times New Roman"/>
          <w:sz w:val="24"/>
          <w:szCs w:val="24"/>
        </w:rPr>
        <w:t>: Οποιαδήποτε νομική οντότητα συμβάλλει στις ανωτέρω δράσεις, π.χ. τοπικές, περιφερειακές και εθνικές δημόσιες αρχές, συμπεριλαμβανομένων των φορέων διαχείρισης του NATURA2000 ή άλλων προστατευόμενων περιοχών. Ευρωπαϊκοί Όμιλοι Εδαφικής Συνεργασίας (ΕΟΕΣ) και ΜΚΟ, οργανισμοί έρευνας και τριτοβάθμιας εκπαίδευσης που ειδικεύονται στη διατήρηση και τη βιοποικιλότητα.</w:t>
      </w:r>
    </w:p>
    <w:p w14:paraId="0E774820"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b/>
          <w:bCs/>
          <w:sz w:val="24"/>
          <w:szCs w:val="24"/>
        </w:rPr>
        <w:t>Προτεραιότητα 2</w:t>
      </w:r>
      <w:r w:rsidRPr="00CB218B">
        <w:rPr>
          <w:rFonts w:ascii="Times New Roman" w:eastAsia="Calibri" w:hAnsi="Times New Roman" w:cs="Times New Roman"/>
          <w:sz w:val="24"/>
          <w:szCs w:val="24"/>
          <w:vertAlign w:val="superscript"/>
        </w:rPr>
        <w:t>η</w:t>
      </w:r>
      <w:r w:rsidRPr="00CB218B">
        <w:rPr>
          <w:rFonts w:ascii="Times New Roman" w:eastAsia="Calibri" w:hAnsi="Times New Roman" w:cs="Times New Roman"/>
          <w:sz w:val="24"/>
          <w:szCs w:val="24"/>
        </w:rPr>
        <w:t xml:space="preserve">: Μια πιο </w:t>
      </w:r>
      <w:proofErr w:type="spellStart"/>
      <w:r w:rsidRPr="00CB218B">
        <w:rPr>
          <w:rFonts w:ascii="Times New Roman" w:eastAsia="Calibri" w:hAnsi="Times New Roman" w:cs="Times New Roman"/>
          <w:sz w:val="24"/>
          <w:szCs w:val="24"/>
        </w:rPr>
        <w:t>προσβάσιμη</w:t>
      </w:r>
      <w:proofErr w:type="spellEnd"/>
      <w:r w:rsidRPr="00CB218B">
        <w:rPr>
          <w:rFonts w:ascii="Times New Roman" w:eastAsia="Calibri" w:hAnsi="Times New Roman" w:cs="Times New Roman"/>
          <w:sz w:val="24"/>
          <w:szCs w:val="24"/>
        </w:rPr>
        <w:t xml:space="preserve"> διασυνοριακή περιοχή</w:t>
      </w:r>
    </w:p>
    <w:p w14:paraId="1116AAED" w14:textId="77777777" w:rsidR="003A7925" w:rsidRPr="00CB218B" w:rsidRDefault="003A7925" w:rsidP="00CB218B">
      <w:pPr>
        <w:numPr>
          <w:ilvl w:val="0"/>
          <w:numId w:val="12"/>
        </w:numPr>
        <w:autoSpaceDN w:val="0"/>
        <w:spacing w:after="120" w:line="288" w:lineRule="auto"/>
        <w:ind w:left="851" w:right="323"/>
        <w:jc w:val="both"/>
        <w:rPr>
          <w:rFonts w:ascii="Times New Roman" w:eastAsia="Calibri" w:hAnsi="Times New Roman" w:cs="Times New Roman"/>
          <w:b/>
          <w:bCs/>
          <w:sz w:val="24"/>
          <w:szCs w:val="24"/>
        </w:rPr>
      </w:pPr>
      <w:r w:rsidRPr="00CB218B">
        <w:rPr>
          <w:rFonts w:ascii="Times New Roman" w:eastAsia="Calibri" w:hAnsi="Times New Roman" w:cs="Times New Roman"/>
          <w:b/>
          <w:bCs/>
          <w:sz w:val="24"/>
          <w:szCs w:val="24"/>
        </w:rPr>
        <w:t xml:space="preserve">Ειδικός στόχος </w:t>
      </w:r>
      <w:r w:rsidRPr="00CB218B">
        <w:rPr>
          <w:rFonts w:ascii="Times New Roman" w:eastAsia="Calibri" w:hAnsi="Times New Roman" w:cs="Times New Roman"/>
          <w:b/>
          <w:bCs/>
          <w:sz w:val="24"/>
          <w:szCs w:val="24"/>
          <w:lang w:val="en-GB"/>
        </w:rPr>
        <w:t>RSO</w:t>
      </w:r>
      <w:r w:rsidRPr="00CB218B">
        <w:rPr>
          <w:rFonts w:ascii="Times New Roman" w:eastAsia="Calibri" w:hAnsi="Times New Roman" w:cs="Times New Roman"/>
          <w:b/>
          <w:bCs/>
          <w:sz w:val="24"/>
          <w:szCs w:val="24"/>
        </w:rPr>
        <w:t xml:space="preserve">3.2: Ανάπτυξη και ενίσχυση βιώσιμης, ανθεκτικής στην κλιματική αλλαγή, έξυπνης και </w:t>
      </w:r>
      <w:proofErr w:type="spellStart"/>
      <w:r w:rsidRPr="00CB218B">
        <w:rPr>
          <w:rFonts w:ascii="Times New Roman" w:eastAsia="Calibri" w:hAnsi="Times New Roman" w:cs="Times New Roman"/>
          <w:b/>
          <w:bCs/>
          <w:sz w:val="24"/>
          <w:szCs w:val="24"/>
        </w:rPr>
        <w:t>διατροπικής</w:t>
      </w:r>
      <w:proofErr w:type="spellEnd"/>
      <w:r w:rsidRPr="00CB218B">
        <w:rPr>
          <w:rFonts w:ascii="Times New Roman" w:eastAsia="Calibri" w:hAnsi="Times New Roman" w:cs="Times New Roman"/>
          <w:b/>
          <w:bCs/>
          <w:sz w:val="24"/>
          <w:szCs w:val="24"/>
        </w:rPr>
        <w:t xml:space="preserve"> εθνικής, </w:t>
      </w:r>
      <w:r w:rsidRPr="00CB218B">
        <w:rPr>
          <w:rFonts w:ascii="Times New Roman" w:eastAsia="Calibri" w:hAnsi="Times New Roman" w:cs="Times New Roman"/>
          <w:b/>
          <w:bCs/>
          <w:sz w:val="24"/>
          <w:szCs w:val="24"/>
        </w:rPr>
        <w:lastRenderedPageBreak/>
        <w:t>περιφερειακής και τοπικής κινητικότητας, με καλύτερη πρόσβαση στο ΔΕΔ-Μ και διασυνοριακή κινητικότητα</w:t>
      </w:r>
    </w:p>
    <w:p w14:paraId="2DA7FB86" w14:textId="77777777" w:rsidR="003A7925" w:rsidRPr="00CB218B" w:rsidRDefault="003A7925" w:rsidP="00D167A0">
      <w:pPr>
        <w:spacing w:after="120" w:line="288" w:lineRule="auto"/>
        <w:ind w:left="851" w:right="323"/>
        <w:jc w:val="both"/>
        <w:rPr>
          <w:rFonts w:ascii="Times New Roman" w:eastAsia="Calibri" w:hAnsi="Times New Roman" w:cs="Times New Roman"/>
          <w:b/>
          <w:bCs/>
          <w:sz w:val="24"/>
          <w:szCs w:val="24"/>
        </w:rPr>
      </w:pPr>
      <w:r w:rsidRPr="00CB218B">
        <w:rPr>
          <w:rFonts w:ascii="Times New Roman" w:eastAsia="Calibri" w:hAnsi="Times New Roman" w:cs="Times New Roman"/>
          <w:b/>
          <w:bCs/>
          <w:sz w:val="24"/>
          <w:szCs w:val="24"/>
        </w:rPr>
        <w:t xml:space="preserve">Στρατηγικά έργα: </w:t>
      </w:r>
      <w:r w:rsidRPr="00CB218B">
        <w:rPr>
          <w:rFonts w:ascii="Times New Roman" w:eastAsia="Calibri" w:hAnsi="Times New Roman" w:cs="Times New Roman"/>
          <w:sz w:val="24"/>
          <w:szCs w:val="24"/>
        </w:rPr>
        <w:t>α. Βελτίωση</w:t>
      </w:r>
      <w:r w:rsidRPr="00CB218B">
        <w:rPr>
          <w:rFonts w:ascii="Times New Roman" w:eastAsia="Calibri" w:hAnsi="Times New Roman" w:cs="Times New Roman"/>
          <w:b/>
          <w:bCs/>
          <w:sz w:val="24"/>
          <w:szCs w:val="24"/>
        </w:rPr>
        <w:t xml:space="preserve"> </w:t>
      </w:r>
      <w:r w:rsidRPr="00CB218B">
        <w:rPr>
          <w:rFonts w:ascii="Times New Roman" w:eastAsia="Calibri" w:hAnsi="Times New Roman" w:cs="Times New Roman"/>
          <w:sz w:val="24"/>
          <w:szCs w:val="24"/>
        </w:rPr>
        <w:t>της κινητικότητας και της ασφαλούς μετακίνησης στη διασυνοριακή περιοχή.</w:t>
      </w:r>
    </w:p>
    <w:p w14:paraId="20690AB7"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sz w:val="24"/>
          <w:szCs w:val="24"/>
        </w:rPr>
        <w:t>β. Ενδυνάμωση της σιδηροδρομικής κινητικότητας στη διασυνοριακή περιοχή</w:t>
      </w:r>
    </w:p>
    <w:p w14:paraId="78CCC972"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sz w:val="24"/>
          <w:szCs w:val="24"/>
          <w:u w:val="single"/>
        </w:rPr>
        <w:t>Δικαιούχοι</w:t>
      </w:r>
      <w:r w:rsidRPr="00CB218B">
        <w:rPr>
          <w:rFonts w:ascii="Times New Roman" w:eastAsia="Calibri" w:hAnsi="Times New Roman" w:cs="Times New Roman"/>
          <w:sz w:val="24"/>
          <w:szCs w:val="24"/>
        </w:rPr>
        <w:t>: Α .Εγνατία Οδός, Β. ΕΡΓΟΣΕ, Υπουργεία</w:t>
      </w:r>
    </w:p>
    <w:p w14:paraId="635918BE"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b/>
          <w:bCs/>
          <w:sz w:val="24"/>
          <w:szCs w:val="24"/>
        </w:rPr>
        <w:t>Προτεραιότητα 3</w:t>
      </w:r>
      <w:r w:rsidRPr="00CB218B">
        <w:rPr>
          <w:rFonts w:ascii="Times New Roman" w:eastAsia="Calibri" w:hAnsi="Times New Roman" w:cs="Times New Roman"/>
          <w:b/>
          <w:bCs/>
          <w:sz w:val="24"/>
          <w:szCs w:val="24"/>
          <w:vertAlign w:val="superscript"/>
        </w:rPr>
        <w:t>η</w:t>
      </w:r>
      <w:r w:rsidRPr="00CB218B">
        <w:rPr>
          <w:rFonts w:ascii="Times New Roman" w:eastAsia="Calibri" w:hAnsi="Times New Roman" w:cs="Times New Roman"/>
          <w:sz w:val="24"/>
          <w:szCs w:val="24"/>
        </w:rPr>
        <w:t>: Μια διασυνοριακή περιοχή χωρίς αποκλεισμούς</w:t>
      </w:r>
    </w:p>
    <w:p w14:paraId="6C171473" w14:textId="77777777" w:rsidR="003A7925" w:rsidRPr="00CB218B" w:rsidRDefault="003A7925" w:rsidP="00CB218B">
      <w:pPr>
        <w:numPr>
          <w:ilvl w:val="0"/>
          <w:numId w:val="12"/>
        </w:numPr>
        <w:autoSpaceDN w:val="0"/>
        <w:spacing w:after="120" w:line="288" w:lineRule="auto"/>
        <w:ind w:left="851" w:right="323"/>
        <w:jc w:val="both"/>
        <w:rPr>
          <w:rFonts w:ascii="Times New Roman" w:eastAsia="Calibri" w:hAnsi="Times New Roman" w:cs="Times New Roman"/>
          <w:b/>
          <w:bCs/>
          <w:sz w:val="24"/>
          <w:szCs w:val="24"/>
        </w:rPr>
      </w:pPr>
      <w:r w:rsidRPr="00CB218B">
        <w:rPr>
          <w:rFonts w:ascii="Times New Roman" w:eastAsia="Calibri" w:hAnsi="Times New Roman" w:cs="Times New Roman"/>
          <w:b/>
          <w:bCs/>
          <w:sz w:val="24"/>
          <w:szCs w:val="24"/>
        </w:rPr>
        <w:t xml:space="preserve">Ειδικός στόχος </w:t>
      </w:r>
      <w:r w:rsidRPr="00CB218B">
        <w:rPr>
          <w:rFonts w:ascii="Times New Roman" w:eastAsia="Calibri" w:hAnsi="Times New Roman" w:cs="Times New Roman"/>
          <w:b/>
          <w:bCs/>
          <w:sz w:val="24"/>
          <w:szCs w:val="24"/>
          <w:lang w:val="en-GB"/>
        </w:rPr>
        <w:t>RSO</w:t>
      </w:r>
      <w:r w:rsidRPr="00CB218B">
        <w:rPr>
          <w:rFonts w:ascii="Times New Roman" w:eastAsia="Calibri" w:hAnsi="Times New Roman" w:cs="Times New Roman"/>
          <w:b/>
          <w:bCs/>
          <w:sz w:val="24"/>
          <w:szCs w:val="24"/>
        </w:rPr>
        <w:t xml:space="preserve">4.2: Βελτίωση της ισότιμης πρόσβασης χωρίς αποκλεισμούς σε ποιοτικές υπηρεσίες εκπαίδευσης, κατάρτισης και διά βίου μάθησης μέσω της ανάπτυξης </w:t>
      </w:r>
      <w:proofErr w:type="spellStart"/>
      <w:r w:rsidRPr="00CB218B">
        <w:rPr>
          <w:rFonts w:ascii="Times New Roman" w:eastAsia="Calibri" w:hAnsi="Times New Roman" w:cs="Times New Roman"/>
          <w:b/>
          <w:bCs/>
          <w:sz w:val="24"/>
          <w:szCs w:val="24"/>
        </w:rPr>
        <w:t>προσβάσιμων</w:t>
      </w:r>
      <w:proofErr w:type="spellEnd"/>
      <w:r w:rsidRPr="00CB218B">
        <w:rPr>
          <w:rFonts w:ascii="Times New Roman" w:eastAsia="Calibri" w:hAnsi="Times New Roman" w:cs="Times New Roman"/>
          <w:b/>
          <w:bCs/>
          <w:sz w:val="24"/>
          <w:szCs w:val="24"/>
        </w:rPr>
        <w:t xml:space="preserve"> υποδομών, συμπεριλαμβανομένων της ενίσχυσης της ανθεκτικότητας της εξ αποστάσεως και της διαδικτυακής εκπαίδευσης και κατάρτισης</w:t>
      </w:r>
    </w:p>
    <w:p w14:paraId="4C788167"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b/>
          <w:bCs/>
          <w:sz w:val="24"/>
          <w:szCs w:val="24"/>
        </w:rPr>
        <w:t xml:space="preserve">Ανοιχτές προσκλήσεις: </w:t>
      </w:r>
      <w:r w:rsidRPr="00CB218B">
        <w:rPr>
          <w:rFonts w:ascii="Times New Roman" w:eastAsia="Calibri" w:hAnsi="Times New Roman" w:cs="Times New Roman"/>
          <w:sz w:val="24"/>
          <w:szCs w:val="24"/>
        </w:rPr>
        <w:t>Δράσεις που προσφέρουν υποστήριξη για τη διασύνδεση των επιχειρήσεων με την εκπαίδευση πχ.:</w:t>
      </w:r>
    </w:p>
    <w:p w14:paraId="46092F8C"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sz w:val="24"/>
          <w:szCs w:val="24"/>
        </w:rPr>
        <w:t>1. Άμεση υποστήριξη σε πολύ μικρές/οικογενειακές επιχειρήσεις, ΜΜΕ και νεοσύστατες επιχειρήσεις για αναβάθμιση δεξιοτήτων, ανάπτυξη ψηφιακών ικανοτήτων και οργανωτική ικανότητα (</w:t>
      </w:r>
      <w:proofErr w:type="spellStart"/>
      <w:r w:rsidRPr="00CB218B">
        <w:rPr>
          <w:rFonts w:ascii="Times New Roman" w:eastAsia="Calibri" w:hAnsi="Times New Roman" w:cs="Times New Roman"/>
          <w:sz w:val="24"/>
          <w:szCs w:val="24"/>
        </w:rPr>
        <w:t>mentoring</w:t>
      </w:r>
      <w:proofErr w:type="spellEnd"/>
      <w:r w:rsidRPr="00CB218B">
        <w:rPr>
          <w:rFonts w:ascii="Times New Roman" w:eastAsia="Calibri" w:hAnsi="Times New Roman" w:cs="Times New Roman"/>
          <w:sz w:val="24"/>
          <w:szCs w:val="24"/>
        </w:rPr>
        <w:t xml:space="preserve">, καθοδήγηση κ.λπ.) </w:t>
      </w:r>
    </w:p>
    <w:p w14:paraId="6971F39C"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sz w:val="24"/>
          <w:szCs w:val="24"/>
        </w:rPr>
        <w:t>2. Κοινά προγράμματα κατάρτισης, μαθήματα σε θέματα κοινού ενδιαφέροντος</w:t>
      </w:r>
    </w:p>
    <w:p w14:paraId="539B9B23"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sz w:val="24"/>
          <w:szCs w:val="24"/>
        </w:rPr>
        <w:t xml:space="preserve">3. Ανάπτυξη και πιλοτική εφαρμογή εργαλείων που εστιάζουν στην αναβάθμιση των δεξιοτήτων και την επανεκπαίδευση </w:t>
      </w:r>
      <w:proofErr w:type="spellStart"/>
      <w:r w:rsidRPr="00CB218B">
        <w:rPr>
          <w:rFonts w:ascii="Times New Roman" w:eastAsia="Calibri" w:hAnsi="Times New Roman" w:cs="Times New Roman"/>
          <w:sz w:val="24"/>
          <w:szCs w:val="24"/>
        </w:rPr>
        <w:t>στοχευμένων</w:t>
      </w:r>
      <w:proofErr w:type="spellEnd"/>
      <w:r w:rsidRPr="00CB218B">
        <w:rPr>
          <w:rFonts w:ascii="Times New Roman" w:eastAsia="Calibri" w:hAnsi="Times New Roman" w:cs="Times New Roman"/>
          <w:sz w:val="24"/>
          <w:szCs w:val="24"/>
        </w:rPr>
        <w:t xml:space="preserve"> ομάδων με επίκεντρο την </w:t>
      </w:r>
      <w:proofErr w:type="spellStart"/>
      <w:r w:rsidRPr="00CB218B">
        <w:rPr>
          <w:rFonts w:ascii="Times New Roman" w:eastAsia="Calibri" w:hAnsi="Times New Roman" w:cs="Times New Roman"/>
          <w:sz w:val="24"/>
          <w:szCs w:val="24"/>
        </w:rPr>
        <w:t>ψηφιοποίηση</w:t>
      </w:r>
      <w:proofErr w:type="spellEnd"/>
      <w:r w:rsidRPr="00CB218B">
        <w:rPr>
          <w:rFonts w:ascii="Times New Roman" w:eastAsia="Calibri" w:hAnsi="Times New Roman" w:cs="Times New Roman"/>
          <w:sz w:val="24"/>
          <w:szCs w:val="24"/>
        </w:rPr>
        <w:t xml:space="preserve"> και τον οικολογικό προσανατολισμό της οικονομίας.</w:t>
      </w:r>
    </w:p>
    <w:p w14:paraId="139B6409"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sz w:val="24"/>
          <w:szCs w:val="24"/>
        </w:rPr>
        <w:t>4. Ειδικά προγράμματα εκπαίδευσης/κατάρτισης, συμπεριλαμβανομένων των ατόμων με αναπηρία.</w:t>
      </w:r>
    </w:p>
    <w:p w14:paraId="4B596A56"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sz w:val="24"/>
          <w:szCs w:val="24"/>
          <w:u w:val="single"/>
        </w:rPr>
        <w:t>Δικαιούχοι</w:t>
      </w:r>
      <w:r w:rsidRPr="00CB218B">
        <w:rPr>
          <w:rFonts w:ascii="Times New Roman" w:eastAsia="Calibri" w:hAnsi="Times New Roman" w:cs="Times New Roman"/>
          <w:sz w:val="24"/>
          <w:szCs w:val="24"/>
        </w:rPr>
        <w:t>:</w:t>
      </w:r>
      <w:r w:rsidRPr="00CB218B">
        <w:rPr>
          <w:rFonts w:ascii="Times New Roman" w:eastAsia="Calibri" w:hAnsi="Times New Roman" w:cs="Times New Roman"/>
          <w:b/>
          <w:bCs/>
          <w:sz w:val="24"/>
          <w:szCs w:val="24"/>
        </w:rPr>
        <w:t xml:space="preserve"> </w:t>
      </w:r>
      <w:r w:rsidRPr="00CB218B">
        <w:rPr>
          <w:rFonts w:ascii="Times New Roman" w:eastAsia="Calibri" w:hAnsi="Times New Roman" w:cs="Times New Roman"/>
          <w:sz w:val="24"/>
          <w:szCs w:val="24"/>
        </w:rPr>
        <w:t>Οποιαδήποτε νομική οντότητα συμβάλλει στις ανωτέρω δράσεις, π.χ. τοπικές, περιφερειακές και εθνικές δημόσιες αρχές, οργανισμοί περιφερειακής ανάπτυξης, ΕΟΕΣ, αναπτυξιακοί οργανισμοί, ΜΚΟ, οργανισμοί εκπαίδευσης και κατάρτισης καθώς και πανεπιστήμια και ερευνητικά κέντρα.</w:t>
      </w:r>
    </w:p>
    <w:p w14:paraId="40514081" w14:textId="77777777" w:rsidR="003A7925" w:rsidRPr="00CB218B" w:rsidRDefault="003A7925" w:rsidP="00CB218B">
      <w:pPr>
        <w:numPr>
          <w:ilvl w:val="0"/>
          <w:numId w:val="12"/>
        </w:numPr>
        <w:autoSpaceDN w:val="0"/>
        <w:spacing w:after="120" w:line="288" w:lineRule="auto"/>
        <w:ind w:left="851" w:right="323"/>
        <w:jc w:val="both"/>
        <w:rPr>
          <w:rFonts w:ascii="Times New Roman" w:eastAsia="Calibri" w:hAnsi="Times New Roman" w:cs="Times New Roman"/>
          <w:b/>
          <w:bCs/>
          <w:sz w:val="24"/>
          <w:szCs w:val="24"/>
        </w:rPr>
      </w:pPr>
      <w:r w:rsidRPr="00CB218B">
        <w:rPr>
          <w:rFonts w:ascii="Times New Roman" w:eastAsia="Calibri" w:hAnsi="Times New Roman" w:cs="Times New Roman"/>
          <w:b/>
          <w:bCs/>
          <w:sz w:val="24"/>
          <w:szCs w:val="24"/>
        </w:rPr>
        <w:t xml:space="preserve">Ειδικός στόχος </w:t>
      </w:r>
      <w:r w:rsidRPr="00CB218B">
        <w:rPr>
          <w:rFonts w:ascii="Times New Roman" w:eastAsia="Calibri" w:hAnsi="Times New Roman" w:cs="Times New Roman"/>
          <w:b/>
          <w:bCs/>
          <w:sz w:val="24"/>
          <w:szCs w:val="24"/>
          <w:lang w:val="en-GB"/>
        </w:rPr>
        <w:t>RSO</w:t>
      </w:r>
      <w:r w:rsidRPr="00CB218B">
        <w:rPr>
          <w:rFonts w:ascii="Times New Roman" w:eastAsia="Calibri" w:hAnsi="Times New Roman" w:cs="Times New Roman"/>
          <w:b/>
          <w:bCs/>
          <w:sz w:val="24"/>
          <w:szCs w:val="24"/>
        </w:rPr>
        <w:t>4.6: Ενίσχυση του ρόλου του πολιτισμού και του βιώσιμου τουρισμού στην οικονομική ανάπτυξη, την κοινωνική ένταξη και την κοινωνική καινοτομία.</w:t>
      </w:r>
    </w:p>
    <w:p w14:paraId="082477D9" w14:textId="77777777"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proofErr w:type="spellStart"/>
      <w:r w:rsidRPr="00CB218B">
        <w:rPr>
          <w:rFonts w:ascii="Times New Roman" w:eastAsia="Calibri" w:hAnsi="Times New Roman" w:cs="Times New Roman"/>
          <w:b/>
          <w:bCs/>
          <w:sz w:val="24"/>
          <w:szCs w:val="24"/>
        </w:rPr>
        <w:lastRenderedPageBreak/>
        <w:t>Στοχευμένες</w:t>
      </w:r>
      <w:proofErr w:type="spellEnd"/>
      <w:r w:rsidRPr="00CB218B">
        <w:rPr>
          <w:rFonts w:ascii="Times New Roman" w:eastAsia="Calibri" w:hAnsi="Times New Roman" w:cs="Times New Roman"/>
          <w:b/>
          <w:bCs/>
          <w:sz w:val="24"/>
          <w:szCs w:val="24"/>
        </w:rPr>
        <w:t xml:space="preserve"> προσκλήσεις: </w:t>
      </w:r>
      <w:r w:rsidRPr="00CB218B">
        <w:rPr>
          <w:rFonts w:ascii="Times New Roman" w:eastAsia="Calibri" w:hAnsi="Times New Roman" w:cs="Times New Roman"/>
          <w:sz w:val="24"/>
          <w:szCs w:val="24"/>
        </w:rPr>
        <w:t xml:space="preserve">Άμεση στήριξη σε </w:t>
      </w:r>
      <w:proofErr w:type="spellStart"/>
      <w:r w:rsidRPr="00CB218B">
        <w:rPr>
          <w:rFonts w:ascii="Times New Roman" w:eastAsia="Calibri" w:hAnsi="Times New Roman" w:cs="Times New Roman"/>
          <w:sz w:val="24"/>
          <w:szCs w:val="24"/>
        </w:rPr>
        <w:t>ΜμΕ</w:t>
      </w:r>
      <w:proofErr w:type="spellEnd"/>
      <w:r w:rsidRPr="00CB218B">
        <w:rPr>
          <w:rFonts w:ascii="Times New Roman" w:eastAsia="Calibri" w:hAnsi="Times New Roman" w:cs="Times New Roman"/>
          <w:sz w:val="24"/>
          <w:szCs w:val="24"/>
        </w:rPr>
        <w:t xml:space="preserve"> και </w:t>
      </w:r>
      <w:proofErr w:type="spellStart"/>
      <w:r w:rsidRPr="00CB218B">
        <w:rPr>
          <w:rFonts w:ascii="Times New Roman" w:eastAsia="Calibri" w:hAnsi="Times New Roman" w:cs="Times New Roman"/>
          <w:sz w:val="24"/>
          <w:szCs w:val="24"/>
        </w:rPr>
        <w:t>ΚοινΣΕπ</w:t>
      </w:r>
      <w:proofErr w:type="spellEnd"/>
      <w:r w:rsidRPr="00CB218B">
        <w:rPr>
          <w:rFonts w:ascii="Times New Roman" w:eastAsia="Calibri" w:hAnsi="Times New Roman" w:cs="Times New Roman"/>
          <w:sz w:val="24"/>
          <w:szCs w:val="24"/>
        </w:rPr>
        <w:t>, στους τομείς του πολιτισμού και του τουρισμού για επενδύσεις σε υποδομές μικρής κλίμακας, ανακαίνιση, εξοπλισμό, αναβάθμιση δεξιοτήτων και ψηφιακές εφαρμογές</w:t>
      </w:r>
    </w:p>
    <w:p w14:paraId="7A167148" w14:textId="77777777" w:rsidR="003A7925" w:rsidRPr="00CB218B" w:rsidRDefault="003A7925" w:rsidP="00D167A0">
      <w:pPr>
        <w:adjustRightInd w:val="0"/>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sz w:val="24"/>
          <w:szCs w:val="24"/>
          <w:u w:val="single"/>
        </w:rPr>
        <w:t>Δικαιούχοι:</w:t>
      </w:r>
      <w:r w:rsidRPr="00CB218B">
        <w:rPr>
          <w:rFonts w:ascii="Times New Roman" w:eastAsia="Calibri" w:hAnsi="Times New Roman" w:cs="Times New Roman"/>
          <w:sz w:val="24"/>
          <w:szCs w:val="24"/>
        </w:rPr>
        <w:t xml:space="preserve"> Υφιστάμενες ΜΜΕ ή σχετικές οργανώσεις της κοινωνίας των πολιτών που δραστηριοποιούνται στον τομέα του Πολιτισμού και της παροχής τουριστικών υπηρεσιών</w:t>
      </w:r>
    </w:p>
    <w:p w14:paraId="39E2DF2A" w14:textId="77777777" w:rsidR="00D167A0" w:rsidRPr="00CB218B" w:rsidRDefault="003A7925" w:rsidP="00D167A0">
      <w:pPr>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b/>
          <w:bCs/>
          <w:sz w:val="24"/>
          <w:szCs w:val="24"/>
        </w:rPr>
        <w:t xml:space="preserve">Ανοιχτές προσκλήσεις: </w:t>
      </w:r>
      <w:r w:rsidRPr="00CB218B">
        <w:rPr>
          <w:rFonts w:ascii="Times New Roman" w:eastAsia="Calibri" w:hAnsi="Times New Roman" w:cs="Times New Roman"/>
          <w:sz w:val="24"/>
          <w:szCs w:val="24"/>
        </w:rPr>
        <w:t>Δικτύωση και προώθηση πολιτιστικών σημείων ενδιαφέροντος συμπεριλαμβανομένης της ανάπτυξης</w:t>
      </w:r>
      <w:r w:rsidRPr="00CB218B">
        <w:rPr>
          <w:rFonts w:ascii="Times New Roman" w:eastAsia="Calibri" w:hAnsi="Times New Roman" w:cs="Times New Roman"/>
          <w:b/>
          <w:bCs/>
          <w:sz w:val="24"/>
          <w:szCs w:val="24"/>
        </w:rPr>
        <w:t xml:space="preserve"> </w:t>
      </w:r>
      <w:r w:rsidRPr="00CB218B">
        <w:rPr>
          <w:rFonts w:ascii="Times New Roman" w:eastAsia="Calibri" w:hAnsi="Times New Roman" w:cs="Times New Roman"/>
          <w:sz w:val="24"/>
          <w:szCs w:val="24"/>
        </w:rPr>
        <w:t>πόλων έλξης επισκεπτών και μικρού μεγέθους επεμβάσεις σε υποδομές.</w:t>
      </w:r>
    </w:p>
    <w:p w14:paraId="361A3DEE" w14:textId="42E081DD" w:rsidR="003A7925" w:rsidRPr="00CB218B" w:rsidRDefault="003A7925" w:rsidP="00D167A0">
      <w:pPr>
        <w:spacing w:after="120" w:line="288" w:lineRule="auto"/>
        <w:ind w:left="851" w:right="323"/>
        <w:jc w:val="both"/>
        <w:rPr>
          <w:rFonts w:ascii="Times New Roman" w:eastAsia="Calibri" w:hAnsi="Times New Roman" w:cs="Times New Roman"/>
          <w:sz w:val="24"/>
          <w:szCs w:val="24"/>
        </w:rPr>
      </w:pPr>
      <w:r w:rsidRPr="00CB218B">
        <w:rPr>
          <w:rFonts w:ascii="Times New Roman" w:eastAsia="Calibri" w:hAnsi="Times New Roman" w:cs="Times New Roman"/>
          <w:sz w:val="24"/>
          <w:szCs w:val="24"/>
          <w:u w:val="single"/>
        </w:rPr>
        <w:t>Δικαιούχοι:</w:t>
      </w:r>
      <w:r w:rsidRPr="00CB218B">
        <w:rPr>
          <w:rFonts w:ascii="Times New Roman" w:eastAsia="Calibri" w:hAnsi="Times New Roman" w:cs="Times New Roman"/>
          <w:sz w:val="24"/>
          <w:szCs w:val="24"/>
        </w:rPr>
        <w:t xml:space="preserve"> Οποιαδήποτε νομική οντότητα συμβάλλει στις ανωτέρω δράσεις, π.χ. τοπικές, περιφερειακές και εθνικές δημόσιες αρχές, οργανισμοί περιφερειακής ανάπτυξης, ΕΟΕΣ, αναπτυξιακοί οργανισμοί, ΜΚΟ, οργανισμοί εκπαίδευσης και κατάρτισης καθώς και πανεπιστήμια και ερευνητικά κέντρα.</w:t>
      </w:r>
    </w:p>
    <w:p w14:paraId="1C01F05A" w14:textId="77777777" w:rsidR="00D167A0" w:rsidRPr="00CB218B" w:rsidRDefault="00D167A0" w:rsidP="00D167A0">
      <w:pPr>
        <w:spacing w:after="120" w:line="288" w:lineRule="auto"/>
        <w:ind w:left="284" w:right="323"/>
        <w:jc w:val="both"/>
        <w:rPr>
          <w:rFonts w:ascii="Times New Roman" w:eastAsia="Calibri" w:hAnsi="Times New Roman" w:cs="Times New Roman"/>
          <w:sz w:val="24"/>
          <w:szCs w:val="24"/>
        </w:rPr>
      </w:pPr>
    </w:p>
    <w:p w14:paraId="27C69E8A" w14:textId="4F982CF7" w:rsidR="003A7925" w:rsidRPr="00CB218B" w:rsidRDefault="003A7925" w:rsidP="00D167A0">
      <w:pPr>
        <w:spacing w:after="120" w:line="288" w:lineRule="auto"/>
        <w:ind w:left="284" w:right="323"/>
        <w:jc w:val="both"/>
        <w:rPr>
          <w:rFonts w:ascii="Times New Roman" w:eastAsia="Calibri" w:hAnsi="Times New Roman" w:cs="Times New Roman"/>
          <w:sz w:val="24"/>
          <w:szCs w:val="24"/>
        </w:rPr>
      </w:pPr>
      <w:r w:rsidRPr="00CB218B">
        <w:rPr>
          <w:rFonts w:ascii="Times New Roman" w:eastAsia="Calibri" w:hAnsi="Times New Roman" w:cs="Times New Roman"/>
          <w:sz w:val="24"/>
          <w:szCs w:val="24"/>
        </w:rPr>
        <w:t>Το πλήρες κείμενο του εγκεκριμένου προγράμματος είναι αναρτημένο στο σύνδεσμο:</w:t>
      </w:r>
    </w:p>
    <w:p w14:paraId="79C327A3" w14:textId="09BCEE20" w:rsidR="003A7925" w:rsidRPr="00CB218B" w:rsidRDefault="00C114D1" w:rsidP="00D167A0">
      <w:pPr>
        <w:pStyle w:val="af0"/>
        <w:spacing w:line="288" w:lineRule="auto"/>
        <w:ind w:left="284" w:right="323"/>
        <w:jc w:val="both"/>
        <w:rPr>
          <w:rFonts w:ascii="Times New Roman" w:hAnsi="Times New Roman" w:cs="Times New Roman"/>
          <w:sz w:val="24"/>
          <w:szCs w:val="24"/>
        </w:rPr>
      </w:pPr>
      <w:hyperlink r:id="rId8" w:history="1">
        <w:r w:rsidR="003A7925" w:rsidRPr="00CB218B">
          <w:rPr>
            <w:rStyle w:val="-"/>
            <w:rFonts w:ascii="Times New Roman" w:eastAsia="Calibri" w:hAnsi="Times New Roman" w:cs="Times New Roman"/>
            <w:color w:val="0563C1"/>
            <w:sz w:val="24"/>
            <w:szCs w:val="24"/>
          </w:rPr>
          <w:t>http://www.greece-bulgaria.eu/com/85_Programming-Period-2021-2027</w:t>
        </w:r>
      </w:hyperlink>
    </w:p>
    <w:p w14:paraId="3A1DE4A8" w14:textId="27D9E390" w:rsidR="001B15BA" w:rsidRPr="00CB218B" w:rsidRDefault="001B15BA" w:rsidP="00D167A0">
      <w:pPr>
        <w:pStyle w:val="af0"/>
        <w:spacing w:line="288" w:lineRule="auto"/>
        <w:ind w:left="284" w:right="323"/>
        <w:jc w:val="both"/>
        <w:rPr>
          <w:rFonts w:ascii="Times New Roman" w:hAnsi="Times New Roman" w:cs="Times New Roman"/>
          <w:sz w:val="24"/>
          <w:szCs w:val="24"/>
        </w:rPr>
      </w:pPr>
    </w:p>
    <w:p w14:paraId="6251AC8E" w14:textId="690E8226" w:rsidR="001F66DA" w:rsidRPr="001F66DA" w:rsidRDefault="001F66DA" w:rsidP="001F66DA">
      <w:pPr>
        <w:sectPr w:rsidR="001F66DA" w:rsidRPr="001F66DA" w:rsidSect="00C142C6">
          <w:headerReference w:type="default" r:id="rId9"/>
          <w:footerReference w:type="default" r:id="rId10"/>
          <w:headerReference w:type="first" r:id="rId11"/>
          <w:footerReference w:type="first" r:id="rId12"/>
          <w:pgSz w:w="11906" w:h="16838"/>
          <w:pgMar w:top="1843" w:right="1558" w:bottom="1440" w:left="1800" w:header="709" w:footer="708" w:gutter="0"/>
          <w:cols w:space="708"/>
          <w:titlePg/>
          <w:docGrid w:linePitch="360"/>
        </w:sectPr>
      </w:pPr>
    </w:p>
    <w:p w14:paraId="1F8FC29B" w14:textId="105F9E43" w:rsidR="008043E8" w:rsidRPr="00D167A0" w:rsidRDefault="008043E8" w:rsidP="00D167A0">
      <w:pPr>
        <w:pStyle w:val="10"/>
        <w:numPr>
          <w:ilvl w:val="8"/>
          <w:numId w:val="9"/>
        </w:numPr>
        <w:shd w:val="clear" w:color="auto" w:fill="D9E2F3" w:themeFill="accent1" w:themeFillTint="33"/>
        <w:spacing w:before="240" w:after="120" w:line="288" w:lineRule="auto"/>
        <w:ind w:left="284" w:right="326" w:firstLine="0"/>
        <w:jc w:val="center"/>
        <w:rPr>
          <w:rFonts w:asciiTheme="majorBidi" w:hAnsiTheme="majorBidi" w:cstheme="majorBidi"/>
        </w:rPr>
      </w:pPr>
      <w:bookmarkStart w:id="4" w:name="_Toc122093595"/>
      <w:r w:rsidRPr="00D167A0">
        <w:rPr>
          <w:rFonts w:asciiTheme="majorBidi" w:hAnsiTheme="majorBidi" w:cstheme="majorBidi"/>
        </w:rPr>
        <w:lastRenderedPageBreak/>
        <w:t xml:space="preserve">ΘΕΜΑΤΑ ΧΩΡΟΤΑΞΙΑΣ </w:t>
      </w:r>
      <w:r w:rsidR="00F57DE5" w:rsidRPr="00D167A0">
        <w:rPr>
          <w:rFonts w:asciiTheme="majorBidi" w:hAnsiTheme="majorBidi" w:cstheme="majorBidi"/>
        </w:rPr>
        <w:t>/</w:t>
      </w:r>
      <w:r w:rsidRPr="00D167A0">
        <w:rPr>
          <w:rFonts w:asciiTheme="majorBidi" w:hAnsiTheme="majorBidi" w:cstheme="majorBidi"/>
        </w:rPr>
        <w:t>ΠΟΛΕΟΔΟΜΙ</w:t>
      </w:r>
      <w:r w:rsidR="00F57DE5" w:rsidRPr="00D167A0">
        <w:rPr>
          <w:rFonts w:asciiTheme="majorBidi" w:hAnsiTheme="majorBidi" w:cstheme="majorBidi"/>
        </w:rPr>
        <w:t>ΚΑ ΘΕΜΑΤΑ</w:t>
      </w:r>
      <w:bookmarkEnd w:id="4"/>
    </w:p>
    <w:p w14:paraId="6D16A1BF" w14:textId="1A1B7813" w:rsidR="005F3A9A" w:rsidRPr="00D167A0" w:rsidRDefault="008043E8" w:rsidP="00D167A0">
      <w:pPr>
        <w:pStyle w:val="20"/>
        <w:shd w:val="clear" w:color="auto" w:fill="D9D9D9" w:themeFill="background1" w:themeFillShade="D9"/>
        <w:spacing w:before="0" w:after="240" w:line="288" w:lineRule="auto"/>
        <w:ind w:left="284" w:right="323"/>
        <w:jc w:val="center"/>
        <w:rPr>
          <w:rFonts w:ascii="Times New Roman" w:hAnsi="Times New Roman" w:cs="Times New Roman"/>
          <w:b/>
          <w:bCs/>
          <w:color w:val="auto"/>
          <w:sz w:val="24"/>
          <w:szCs w:val="24"/>
        </w:rPr>
      </w:pPr>
      <w:bookmarkStart w:id="5" w:name="_Toc122093596"/>
      <w:r w:rsidRPr="00D167A0">
        <w:rPr>
          <w:rFonts w:ascii="Times New Roman" w:hAnsi="Times New Roman" w:cs="Times New Roman"/>
          <w:b/>
          <w:bCs/>
          <w:color w:val="auto"/>
          <w:sz w:val="24"/>
          <w:szCs w:val="24"/>
        </w:rPr>
        <w:t xml:space="preserve">Α. </w:t>
      </w:r>
      <w:r w:rsidR="00D167A0" w:rsidRPr="00D167A0">
        <w:rPr>
          <w:rFonts w:ascii="Times New Roman" w:hAnsi="Times New Roman" w:cs="Times New Roman"/>
          <w:b/>
          <w:bCs/>
          <w:color w:val="auto"/>
          <w:sz w:val="24"/>
          <w:szCs w:val="24"/>
        </w:rPr>
        <w:t>Εγκύκλιος του Υπουργείου Περιβάλλοντος &amp; Ενέργειας για την εκτός σχεδίου δόμηση &amp; την εφαρμογή του κεφαλαίου Γ’ του Ν.4759/2020 (Α’ 245)</w:t>
      </w:r>
      <w:bookmarkEnd w:id="5"/>
    </w:p>
    <w:p w14:paraId="3A4AE79A" w14:textId="77777777" w:rsidR="00D167A0" w:rsidRPr="00A41559" w:rsidRDefault="00D167A0" w:rsidP="00D167A0">
      <w:pPr>
        <w:spacing w:after="120" w:line="288" w:lineRule="auto"/>
        <w:ind w:left="284" w:right="284"/>
        <w:jc w:val="both"/>
        <w:rPr>
          <w:rFonts w:ascii="Times New Roman" w:hAnsi="Times New Roman" w:cs="Times New Roman"/>
          <w:sz w:val="24"/>
          <w:szCs w:val="24"/>
        </w:rPr>
      </w:pPr>
      <w:r w:rsidRPr="00A41559">
        <w:rPr>
          <w:rFonts w:ascii="Times New Roman" w:hAnsi="Times New Roman" w:cs="Times New Roman"/>
          <w:sz w:val="24"/>
          <w:szCs w:val="24"/>
        </w:rPr>
        <w:t xml:space="preserve">Στις 10 Νοεμβρίου εκδόθηκε η υπ. </w:t>
      </w:r>
      <w:proofErr w:type="spellStart"/>
      <w:r w:rsidRPr="00A41559">
        <w:rPr>
          <w:rFonts w:ascii="Times New Roman" w:hAnsi="Times New Roman" w:cs="Times New Roman"/>
          <w:sz w:val="24"/>
          <w:szCs w:val="24"/>
        </w:rPr>
        <w:t>αρ</w:t>
      </w:r>
      <w:proofErr w:type="spellEnd"/>
      <w:r w:rsidRPr="00A41559">
        <w:rPr>
          <w:rFonts w:ascii="Times New Roman" w:hAnsi="Times New Roman" w:cs="Times New Roman"/>
          <w:sz w:val="24"/>
          <w:szCs w:val="24"/>
        </w:rPr>
        <w:t xml:space="preserve">. οικ. </w:t>
      </w:r>
      <w:r w:rsidRPr="00A41559">
        <w:rPr>
          <w:rFonts w:ascii="Times New Roman" w:hAnsi="Times New Roman" w:cs="Times New Roman"/>
          <w:b/>
          <w:bCs/>
          <w:sz w:val="24"/>
          <w:szCs w:val="24"/>
        </w:rPr>
        <w:t>ΥΠΕΝ/ΔΑΟΚΑ/117814/3961</w:t>
      </w:r>
      <w:r w:rsidRPr="00A41559">
        <w:rPr>
          <w:rFonts w:ascii="Times New Roman" w:hAnsi="Times New Roman" w:cs="Times New Roman"/>
          <w:sz w:val="24"/>
          <w:szCs w:val="24"/>
        </w:rPr>
        <w:t xml:space="preserve"> εγκύκλιος που υπογράφει ο Γενικός Γραμματέας Χωρικού Σχεδιασμού και Αστικού Περιβάλλοντος του Υπουργείου Περιβάλλοντος και Ενέργειας κ. Ευθύμιος Μπακογιάννης, με θέμα «Οδηγίες για την δόμηση σε εκτός σχεδίου περιοχές και ιδίως την εφαρμογή του κεφαλαίου Γ’ του ν.4759/2020 (Ά 245), όπως ισχύει.». </w:t>
      </w:r>
    </w:p>
    <w:p w14:paraId="66A3C5FA" w14:textId="77777777" w:rsidR="00D167A0" w:rsidRPr="00A41559" w:rsidRDefault="00D167A0" w:rsidP="00D167A0">
      <w:pPr>
        <w:spacing w:after="120" w:line="288" w:lineRule="auto"/>
        <w:ind w:left="284" w:right="284"/>
        <w:jc w:val="both"/>
        <w:rPr>
          <w:rFonts w:ascii="Times New Roman" w:hAnsi="Times New Roman" w:cs="Times New Roman"/>
          <w:sz w:val="24"/>
          <w:szCs w:val="24"/>
        </w:rPr>
      </w:pPr>
      <w:r w:rsidRPr="00A41559">
        <w:rPr>
          <w:rFonts w:ascii="Times New Roman" w:hAnsi="Times New Roman" w:cs="Times New Roman"/>
          <w:sz w:val="24"/>
          <w:szCs w:val="24"/>
        </w:rPr>
        <w:t>Η εγκύκλιος διευκρινίζει μία σειρά θεμάτων που έχουν προκύψει κατά την εφαρμογή των διατάξεων της εκτός σχεδίου δόμησης στις ΥΔΟΜ, ενώ ταυτόχρονα ξεκαθαρίζει ότι σε όσα γήπεδα βρίσκονται σε περιοχές εκτός ρυμοτομικών σχεδίων και εκτός ορίων των νομίμως υφιστάμενων οικισμών (προ του έτους 1923 και οριοθετημένων κάτω των 2000 κατοίκων, στις οποίες έχουν καθοριστεί χρήσεις γης ή όροι και περιορισμοί δόμησης από διατάγματα ή αποφάσεις ή από πολεοδομικό σχεδιασμό 1ου επιπέδου (ενδεικτικά ΓΠΣ,ΣΧΟΟΠ,ΖΟΕ), δεν εφαρμόζονται οι διατάξεις του κεφαλαίου Γ’ του ν.4759/2020, εκτός από τις περιπτώσεις που ρητά ορίζεται στις διατάξεις αυτού. Υπενθυμίζεται ότι σκοπός του κεφαλαίου Γ΄ του ν.4759/2020 «Ρυθμίσεις για την εκτός σχεδίου δόμηση και τους οργανωμένους υποδοχείς» είναι ο περιορισμός της δόμησης σε περιοχές για τις οποίες δεν υπάρχει πολεοδομικός σχεδιασμός πρώτου επιπέδου.</w:t>
      </w:r>
    </w:p>
    <w:p w14:paraId="33EEE927" w14:textId="77777777" w:rsidR="00D167A0" w:rsidRPr="00A41559" w:rsidRDefault="00D167A0" w:rsidP="00D167A0">
      <w:pPr>
        <w:spacing w:after="120" w:line="288" w:lineRule="auto"/>
        <w:ind w:left="284" w:right="284"/>
        <w:jc w:val="both"/>
        <w:rPr>
          <w:rFonts w:ascii="Times New Roman" w:hAnsi="Times New Roman" w:cs="Times New Roman"/>
          <w:sz w:val="24"/>
          <w:szCs w:val="24"/>
        </w:rPr>
      </w:pPr>
      <w:r w:rsidRPr="00A41559">
        <w:rPr>
          <w:rFonts w:ascii="Times New Roman" w:hAnsi="Times New Roman" w:cs="Times New Roman"/>
          <w:sz w:val="24"/>
          <w:szCs w:val="24"/>
        </w:rPr>
        <w:t xml:space="preserve">Όπως υπογραμμίζεται στην εγκύκλιο «Συμπερασματικά λοιπόν, ο ν.4759/2020 δεν αποσκοπεί, ούτε και προβαίνει στην οριζόντια τροποποίηση των </w:t>
      </w:r>
      <w:proofErr w:type="spellStart"/>
      <w:r w:rsidRPr="00A41559">
        <w:rPr>
          <w:rFonts w:ascii="Times New Roman" w:hAnsi="Times New Roman" w:cs="Times New Roman"/>
          <w:sz w:val="24"/>
          <w:szCs w:val="24"/>
        </w:rPr>
        <w:t>προϊσχυουσών</w:t>
      </w:r>
      <w:proofErr w:type="spellEnd"/>
      <w:r w:rsidRPr="00A41559">
        <w:rPr>
          <w:rFonts w:ascii="Times New Roman" w:hAnsi="Times New Roman" w:cs="Times New Roman"/>
          <w:sz w:val="24"/>
          <w:szCs w:val="24"/>
        </w:rPr>
        <w:t xml:space="preserve"> διατάξεων περί της δόμησης εκτός σχεδίου των από 24.5.1985 </w:t>
      </w:r>
      <w:proofErr w:type="spellStart"/>
      <w:r w:rsidRPr="00A41559">
        <w:rPr>
          <w:rFonts w:ascii="Times New Roman" w:hAnsi="Times New Roman" w:cs="Times New Roman"/>
          <w:sz w:val="24"/>
          <w:szCs w:val="24"/>
        </w:rPr>
        <w:t>π.δ.</w:t>
      </w:r>
      <w:proofErr w:type="spellEnd"/>
      <w:r w:rsidRPr="00A41559">
        <w:rPr>
          <w:rFonts w:ascii="Times New Roman" w:hAnsi="Times New Roman" w:cs="Times New Roman"/>
          <w:sz w:val="24"/>
          <w:szCs w:val="24"/>
        </w:rPr>
        <w:t xml:space="preserve"> και 6.10.1978 </w:t>
      </w:r>
      <w:proofErr w:type="spellStart"/>
      <w:r w:rsidRPr="00A41559">
        <w:rPr>
          <w:rFonts w:ascii="Times New Roman" w:hAnsi="Times New Roman" w:cs="Times New Roman"/>
          <w:sz w:val="24"/>
          <w:szCs w:val="24"/>
        </w:rPr>
        <w:t>π.δ.</w:t>
      </w:r>
      <w:proofErr w:type="spellEnd"/>
      <w:r w:rsidRPr="00A41559">
        <w:rPr>
          <w:rFonts w:ascii="Times New Roman" w:hAnsi="Times New Roman" w:cs="Times New Roman"/>
          <w:sz w:val="24"/>
          <w:szCs w:val="24"/>
        </w:rPr>
        <w:t xml:space="preserve"> Επίσης, δεν μεταβάλλει τον τρόπο και τις διατάξεις δόμησης στα γήπεδα που βρίσκονται σε περιοχές για τις οποίες ισχύουν πολεοδομικές ρυθμίσεις, ούτε και στην περίπτωση που τα σχετικά εργαλεία ή </w:t>
      </w:r>
      <w:proofErr w:type="spellStart"/>
      <w:r w:rsidRPr="00A41559">
        <w:rPr>
          <w:rFonts w:ascii="Times New Roman" w:hAnsi="Times New Roman" w:cs="Times New Roman"/>
          <w:sz w:val="24"/>
          <w:szCs w:val="24"/>
        </w:rPr>
        <w:t>π.δ</w:t>
      </w:r>
      <w:proofErr w:type="spellEnd"/>
      <w:r w:rsidRPr="00A41559">
        <w:rPr>
          <w:rFonts w:ascii="Times New Roman" w:hAnsi="Times New Roman" w:cs="Times New Roman"/>
          <w:sz w:val="24"/>
          <w:szCs w:val="24"/>
        </w:rPr>
        <w:t xml:space="preserve"> (ή ΚΥΑ) παραπέμπουν γενικώς στις διατάξεις της εκτός σχεδίου δόμησης των από 24.05.1985 και από 6.10.1978 </w:t>
      </w:r>
      <w:proofErr w:type="spellStart"/>
      <w:r w:rsidRPr="00A41559">
        <w:rPr>
          <w:rFonts w:ascii="Times New Roman" w:hAnsi="Times New Roman" w:cs="Times New Roman"/>
          <w:sz w:val="24"/>
          <w:szCs w:val="24"/>
        </w:rPr>
        <w:t>π.δ.</w:t>
      </w:r>
      <w:proofErr w:type="spellEnd"/>
      <w:r w:rsidRPr="00A41559">
        <w:rPr>
          <w:rFonts w:ascii="Times New Roman" w:hAnsi="Times New Roman" w:cs="Times New Roman"/>
          <w:sz w:val="24"/>
          <w:szCs w:val="24"/>
        </w:rPr>
        <w:t>»</w:t>
      </w:r>
    </w:p>
    <w:p w14:paraId="6F735522" w14:textId="77777777" w:rsidR="00D167A0" w:rsidRPr="00A41559" w:rsidRDefault="00D167A0" w:rsidP="00D167A0">
      <w:pPr>
        <w:spacing w:after="120" w:line="288" w:lineRule="auto"/>
        <w:ind w:left="284" w:right="284"/>
        <w:jc w:val="both"/>
        <w:rPr>
          <w:rFonts w:ascii="Times New Roman" w:hAnsi="Times New Roman" w:cs="Times New Roman"/>
          <w:sz w:val="24"/>
          <w:szCs w:val="24"/>
        </w:rPr>
      </w:pPr>
      <w:r w:rsidRPr="00A41559">
        <w:rPr>
          <w:rFonts w:ascii="Times New Roman" w:hAnsi="Times New Roman" w:cs="Times New Roman"/>
          <w:sz w:val="24"/>
          <w:szCs w:val="24"/>
        </w:rPr>
        <w:t xml:space="preserve">Αναφορικά με τη </w:t>
      </w:r>
      <w:r w:rsidRPr="00A41559">
        <w:rPr>
          <w:rFonts w:ascii="Times New Roman" w:hAnsi="Times New Roman" w:cs="Times New Roman"/>
          <w:b/>
          <w:bCs/>
          <w:sz w:val="24"/>
          <w:szCs w:val="24"/>
        </w:rPr>
        <w:t>δόμηση των γηπέδων</w:t>
      </w:r>
      <w:r w:rsidRPr="00A41559">
        <w:rPr>
          <w:rFonts w:ascii="Times New Roman" w:hAnsi="Times New Roman" w:cs="Times New Roman"/>
          <w:sz w:val="24"/>
          <w:szCs w:val="24"/>
        </w:rPr>
        <w:t xml:space="preserve"> η εγκύκλιος αναφέρει τα παρακάτω: </w:t>
      </w:r>
    </w:p>
    <w:p w14:paraId="3695DCA2" w14:textId="77777777" w:rsidR="00D167A0" w:rsidRPr="00A41559" w:rsidRDefault="00D167A0" w:rsidP="00D167A0">
      <w:pPr>
        <w:spacing w:after="120" w:line="288" w:lineRule="auto"/>
        <w:ind w:left="284" w:right="284"/>
        <w:jc w:val="both"/>
        <w:rPr>
          <w:rFonts w:ascii="Times New Roman" w:hAnsi="Times New Roman" w:cs="Times New Roman"/>
          <w:sz w:val="24"/>
          <w:szCs w:val="24"/>
        </w:rPr>
      </w:pPr>
      <w:r w:rsidRPr="00A41559">
        <w:rPr>
          <w:rFonts w:ascii="Times New Roman" w:hAnsi="Times New Roman" w:cs="Times New Roman"/>
          <w:sz w:val="24"/>
          <w:szCs w:val="24"/>
        </w:rPr>
        <w:t xml:space="preserve">«Για τα γήπεδα της παρ.1 του άρθρου 32 του ν.4759/2020 τα οποία εμπίπτουν σε περιοχές που στερούνται οποιουδήποτε σχεδιασμού, επιδιώκεται, όπως προκύπτει από την ακριβή διατύπωση της παραγράφου 1 του άρθρου 33 του ν.4759/2020, ο περιορισμός της δόμησης, ο οποίος επιτυγχάνεται μέσω της μείωσης των όρων αλλά και των προϋποθέσεων δόμησης που θέτουν τα από 24.5.1985(Δ΄270/1985) και 6.10.1978(Δ΄ 538) </w:t>
      </w:r>
      <w:proofErr w:type="spellStart"/>
      <w:r w:rsidRPr="00A41559">
        <w:rPr>
          <w:rFonts w:ascii="Times New Roman" w:hAnsi="Times New Roman" w:cs="Times New Roman"/>
          <w:sz w:val="24"/>
          <w:szCs w:val="24"/>
        </w:rPr>
        <w:t>π.δ.</w:t>
      </w:r>
      <w:proofErr w:type="spellEnd"/>
      <w:r w:rsidRPr="00A41559">
        <w:rPr>
          <w:rFonts w:ascii="Times New Roman" w:hAnsi="Times New Roman" w:cs="Times New Roman"/>
          <w:sz w:val="24"/>
          <w:szCs w:val="24"/>
        </w:rPr>
        <w:t xml:space="preserve"> Εφαρμόζονται οι καθοριζόμενοι όροι και περιορισμοί δόμησης που θέτει ο ν.4759/2020 στα άρθρα 33 και 40, ενώ κατά τα λοιπά οι προβλέψεις των από 6.10.1978 </w:t>
      </w:r>
      <w:proofErr w:type="spellStart"/>
      <w:r w:rsidRPr="00A41559">
        <w:rPr>
          <w:rFonts w:ascii="Times New Roman" w:hAnsi="Times New Roman" w:cs="Times New Roman"/>
          <w:sz w:val="24"/>
          <w:szCs w:val="24"/>
        </w:rPr>
        <w:t>π.δ.</w:t>
      </w:r>
      <w:proofErr w:type="spellEnd"/>
      <w:r w:rsidRPr="00A41559">
        <w:rPr>
          <w:rFonts w:ascii="Times New Roman" w:hAnsi="Times New Roman" w:cs="Times New Roman"/>
          <w:sz w:val="24"/>
          <w:szCs w:val="24"/>
        </w:rPr>
        <w:t xml:space="preserve"> και 24.5.1985 </w:t>
      </w:r>
      <w:proofErr w:type="spellStart"/>
      <w:r w:rsidRPr="00A41559">
        <w:rPr>
          <w:rFonts w:ascii="Times New Roman" w:hAnsi="Times New Roman" w:cs="Times New Roman"/>
          <w:sz w:val="24"/>
          <w:szCs w:val="24"/>
        </w:rPr>
        <w:t>π.δ.</w:t>
      </w:r>
      <w:proofErr w:type="spellEnd"/>
      <w:r w:rsidRPr="00A41559">
        <w:rPr>
          <w:rFonts w:ascii="Times New Roman" w:hAnsi="Times New Roman" w:cs="Times New Roman"/>
          <w:sz w:val="24"/>
          <w:szCs w:val="24"/>
        </w:rPr>
        <w:t xml:space="preserve"> εξακολουθούν να ισχύουν μόνον κατά το μέρος που δεν έρχονται σε αντίθεση με τις νέες διατάξεις. Όσον αφορά τα γήπεδα που βρίσκονται μεν σε περιοχές εκτός ρυμοτομικών σχεδίων και </w:t>
      </w:r>
      <w:r w:rsidRPr="00A41559">
        <w:rPr>
          <w:rFonts w:ascii="Times New Roman" w:hAnsi="Times New Roman" w:cs="Times New Roman"/>
          <w:sz w:val="24"/>
          <w:szCs w:val="24"/>
        </w:rPr>
        <w:lastRenderedPageBreak/>
        <w:t>εκτός ορίων των οικισμών (προ του έτους 1923 και οριοθετημένων κάτω από 2000 κατοίκων) αλλά στις οποίες έχουν καθορισθεί χρήσεις γης και όροι και περιορισμοί δόμησης από εργαλεία πολεοδομικού σχεδιασμού 1ου επιπέδου ή από διατάγματα που καθορίζουν όρους και περιορισμούς δόμησης σε περιοχές εκτός σχεδίου, αυτά δεν επηρεάζονται από τις ρυθμίσεις του ν.4759/2020 εκτός από τις περιπτώσεις που ρητά ορίζεται στις διατάξεις αυτού.</w:t>
      </w:r>
    </w:p>
    <w:p w14:paraId="2E3E0041" w14:textId="77777777" w:rsidR="00D167A0" w:rsidRPr="00A41559" w:rsidRDefault="00D167A0" w:rsidP="00D167A0">
      <w:pPr>
        <w:spacing w:after="120" w:line="288" w:lineRule="auto"/>
        <w:ind w:left="284" w:right="284"/>
        <w:jc w:val="both"/>
        <w:rPr>
          <w:rFonts w:ascii="Times New Roman" w:hAnsi="Times New Roman" w:cs="Times New Roman"/>
          <w:sz w:val="24"/>
          <w:szCs w:val="24"/>
        </w:rPr>
      </w:pPr>
      <w:r w:rsidRPr="00A41559">
        <w:rPr>
          <w:rFonts w:ascii="Times New Roman" w:hAnsi="Times New Roman" w:cs="Times New Roman"/>
          <w:sz w:val="24"/>
          <w:szCs w:val="24"/>
        </w:rPr>
        <w:t xml:space="preserve">Για τα γήπεδα της παρ.2 του άρθρου 32 του ν.4759/2020 όπου προωθείται σχεδιασμός πρώτου επιπέδου, δίνεται η δυνατότητα, η αρτιότητα και οι όροι δόμησης που ορίζονται με εργαλεία πολεοδομικού σχεδιασμού πρώτου επιπέδου να είναι ευνοϊκότεροι από τους ισχύοντες για τα γήπεδα της παρ. 1. Ειδικά ο συντελεστής δόμησης, η κάλυψη, το ύψος και ο όγκος μπορούν να ορίζονται ευνοϊκότεροι για τη δόμηση από τους αντίστοιχους όρους στα γήπεδα της παρ. 1 μέχρι δέκα τοις εκατό  (10%). Ωστόσο διευκρινίζεται ότι σε κάθε περίπτωση, οι όροι αυτοί δεν επιτρέπεται να είναι ευνοϊκότεροι, δηλαδή να καθιστούν ευχερέστερη τη δόμηση, σε σχέση προς τους ισχύοντες στις περιοχές εντός σχεδίου, εντός ορίων οικισμών και εντός οργανωμένων μορφών ανάπτυξης στην ευρύτερη περιοχή ή να οδηγούν στην εν τοις </w:t>
      </w:r>
      <w:proofErr w:type="spellStart"/>
      <w:r w:rsidRPr="00A41559">
        <w:rPr>
          <w:rFonts w:ascii="Times New Roman" w:hAnsi="Times New Roman" w:cs="Times New Roman"/>
          <w:sz w:val="24"/>
          <w:szCs w:val="24"/>
        </w:rPr>
        <w:t>πράγμασι</w:t>
      </w:r>
      <w:proofErr w:type="spellEnd"/>
      <w:r w:rsidRPr="00A41559">
        <w:rPr>
          <w:rFonts w:ascii="Times New Roman" w:hAnsi="Times New Roman" w:cs="Times New Roman"/>
          <w:sz w:val="24"/>
          <w:szCs w:val="24"/>
        </w:rPr>
        <w:t xml:space="preserve"> δημιουργία νέων οικισμών χωρίς εγκεκριμένο πολεοδομικό σχέδιο. Συμπερασματικά λοιπόν, ο ν.4759/2020 δεν αποσκοπεί, ούτε και προβαίνει στην οριζόντια τροποποίηση των </w:t>
      </w:r>
      <w:proofErr w:type="spellStart"/>
      <w:r w:rsidRPr="00A41559">
        <w:rPr>
          <w:rFonts w:ascii="Times New Roman" w:hAnsi="Times New Roman" w:cs="Times New Roman"/>
          <w:sz w:val="24"/>
          <w:szCs w:val="24"/>
        </w:rPr>
        <w:t>προϊσχυουσών</w:t>
      </w:r>
      <w:proofErr w:type="spellEnd"/>
      <w:r w:rsidRPr="00A41559">
        <w:rPr>
          <w:rFonts w:ascii="Times New Roman" w:hAnsi="Times New Roman" w:cs="Times New Roman"/>
          <w:sz w:val="24"/>
          <w:szCs w:val="24"/>
        </w:rPr>
        <w:t xml:space="preserve"> διατάξεων περί της δόμησης εκτός σχεδίου των από 24.5.1985 </w:t>
      </w:r>
      <w:proofErr w:type="spellStart"/>
      <w:r w:rsidRPr="00A41559">
        <w:rPr>
          <w:rFonts w:ascii="Times New Roman" w:hAnsi="Times New Roman" w:cs="Times New Roman"/>
          <w:sz w:val="24"/>
          <w:szCs w:val="24"/>
        </w:rPr>
        <w:t>π.δ.</w:t>
      </w:r>
      <w:proofErr w:type="spellEnd"/>
      <w:r w:rsidRPr="00A41559">
        <w:rPr>
          <w:rFonts w:ascii="Times New Roman" w:hAnsi="Times New Roman" w:cs="Times New Roman"/>
          <w:sz w:val="24"/>
          <w:szCs w:val="24"/>
        </w:rPr>
        <w:t xml:space="preserve"> και 6.10.1978 </w:t>
      </w:r>
      <w:proofErr w:type="spellStart"/>
      <w:r w:rsidRPr="00A41559">
        <w:rPr>
          <w:rFonts w:ascii="Times New Roman" w:hAnsi="Times New Roman" w:cs="Times New Roman"/>
          <w:sz w:val="24"/>
          <w:szCs w:val="24"/>
        </w:rPr>
        <w:t>π.δ.</w:t>
      </w:r>
      <w:proofErr w:type="spellEnd"/>
      <w:r w:rsidRPr="00A41559">
        <w:rPr>
          <w:rFonts w:ascii="Times New Roman" w:hAnsi="Times New Roman" w:cs="Times New Roman"/>
          <w:sz w:val="24"/>
          <w:szCs w:val="24"/>
        </w:rPr>
        <w:t xml:space="preserve"> Επίσης, δεν μεταβάλλει τον τρόπο και τις διατάξεις δόμησης στα γήπεδα που βρίσκονται σε περιοχές για τις οποίες ισχύουν πολεοδομικές ρυθμίσεις, ούτε και στην περίπτωση που τα σχετικά εργαλεία ή </w:t>
      </w:r>
      <w:proofErr w:type="spellStart"/>
      <w:r w:rsidRPr="00A41559">
        <w:rPr>
          <w:rFonts w:ascii="Times New Roman" w:hAnsi="Times New Roman" w:cs="Times New Roman"/>
          <w:sz w:val="24"/>
          <w:szCs w:val="24"/>
        </w:rPr>
        <w:t>π.δ</w:t>
      </w:r>
      <w:proofErr w:type="spellEnd"/>
      <w:r w:rsidRPr="00A41559">
        <w:rPr>
          <w:rFonts w:ascii="Times New Roman" w:hAnsi="Times New Roman" w:cs="Times New Roman"/>
          <w:sz w:val="24"/>
          <w:szCs w:val="24"/>
        </w:rPr>
        <w:t xml:space="preserve"> (ή ΚΥΑ) παραπέμπουν γενικώς στις διατάξεις της εκτός σχεδίου δόμησης των από 24.05.1985 και από 6.10.1978 </w:t>
      </w:r>
      <w:proofErr w:type="spellStart"/>
      <w:r w:rsidRPr="00A41559">
        <w:rPr>
          <w:rFonts w:ascii="Times New Roman" w:hAnsi="Times New Roman" w:cs="Times New Roman"/>
          <w:sz w:val="24"/>
          <w:szCs w:val="24"/>
        </w:rPr>
        <w:t>π.δ.</w:t>
      </w:r>
      <w:proofErr w:type="spellEnd"/>
      <w:r w:rsidRPr="00A41559">
        <w:rPr>
          <w:rFonts w:ascii="Times New Roman" w:hAnsi="Times New Roman" w:cs="Times New Roman"/>
          <w:sz w:val="24"/>
          <w:szCs w:val="24"/>
        </w:rPr>
        <w:t>»</w:t>
      </w:r>
    </w:p>
    <w:p w14:paraId="1B9C8971" w14:textId="77777777" w:rsidR="00D167A0" w:rsidRPr="00A41559" w:rsidRDefault="00D167A0" w:rsidP="00D167A0">
      <w:pPr>
        <w:spacing w:after="120" w:line="288" w:lineRule="auto"/>
        <w:ind w:left="284" w:right="284"/>
        <w:jc w:val="both"/>
        <w:rPr>
          <w:rFonts w:ascii="Times New Roman" w:hAnsi="Times New Roman" w:cs="Times New Roman"/>
          <w:sz w:val="24"/>
          <w:szCs w:val="24"/>
        </w:rPr>
      </w:pPr>
      <w:r w:rsidRPr="00A41559">
        <w:rPr>
          <w:rFonts w:ascii="Times New Roman" w:hAnsi="Times New Roman" w:cs="Times New Roman"/>
          <w:sz w:val="24"/>
          <w:szCs w:val="24"/>
        </w:rPr>
        <w:t xml:space="preserve">Σχετικά με την </w:t>
      </w:r>
      <w:r w:rsidRPr="00A41559">
        <w:rPr>
          <w:rFonts w:ascii="Times New Roman" w:hAnsi="Times New Roman" w:cs="Times New Roman"/>
          <w:b/>
          <w:bCs/>
          <w:sz w:val="24"/>
          <w:szCs w:val="24"/>
        </w:rPr>
        <w:t xml:space="preserve">αρτιότητα και την </w:t>
      </w:r>
      <w:proofErr w:type="spellStart"/>
      <w:r w:rsidRPr="00A41559">
        <w:rPr>
          <w:rFonts w:ascii="Times New Roman" w:hAnsi="Times New Roman" w:cs="Times New Roman"/>
          <w:b/>
          <w:bCs/>
          <w:sz w:val="24"/>
          <w:szCs w:val="24"/>
        </w:rPr>
        <w:t>οικοδομησιμότητα</w:t>
      </w:r>
      <w:proofErr w:type="spellEnd"/>
      <w:r w:rsidRPr="00A41559">
        <w:rPr>
          <w:rFonts w:ascii="Times New Roman" w:hAnsi="Times New Roman" w:cs="Times New Roman"/>
          <w:b/>
          <w:bCs/>
          <w:sz w:val="24"/>
          <w:szCs w:val="24"/>
        </w:rPr>
        <w:t xml:space="preserve"> </w:t>
      </w:r>
      <w:r w:rsidRPr="00A41559">
        <w:rPr>
          <w:rFonts w:ascii="Times New Roman" w:hAnsi="Times New Roman" w:cs="Times New Roman"/>
          <w:sz w:val="24"/>
          <w:szCs w:val="24"/>
        </w:rPr>
        <w:t>αναφέρονται τα κάτωθι:</w:t>
      </w:r>
    </w:p>
    <w:p w14:paraId="5F5186FF" w14:textId="77777777" w:rsidR="00D167A0" w:rsidRPr="00A41559" w:rsidRDefault="00D167A0" w:rsidP="00D167A0">
      <w:pPr>
        <w:spacing w:after="120" w:line="288" w:lineRule="auto"/>
        <w:ind w:left="284" w:right="284"/>
        <w:jc w:val="both"/>
        <w:rPr>
          <w:rFonts w:ascii="Times New Roman" w:hAnsi="Times New Roman" w:cs="Times New Roman"/>
          <w:sz w:val="24"/>
          <w:szCs w:val="24"/>
        </w:rPr>
      </w:pPr>
      <w:r w:rsidRPr="00A41559">
        <w:rPr>
          <w:rFonts w:ascii="Times New Roman" w:hAnsi="Times New Roman" w:cs="Times New Roman"/>
          <w:sz w:val="24"/>
          <w:szCs w:val="24"/>
        </w:rPr>
        <w:t xml:space="preserve">«Για τα γήπεδα της παρ.1 του άρθρου 32, οι παρεκκλίσεις της παρ. 2 του άρθρου 1 του από 24.5.1985 </w:t>
      </w:r>
      <w:proofErr w:type="spellStart"/>
      <w:r w:rsidRPr="00A41559">
        <w:rPr>
          <w:rFonts w:ascii="Times New Roman" w:hAnsi="Times New Roman" w:cs="Times New Roman"/>
          <w:sz w:val="24"/>
          <w:szCs w:val="24"/>
        </w:rPr>
        <w:t>π.δ.</w:t>
      </w:r>
      <w:proofErr w:type="spellEnd"/>
      <w:r w:rsidRPr="00A41559">
        <w:rPr>
          <w:rFonts w:ascii="Times New Roman" w:hAnsi="Times New Roman" w:cs="Times New Roman"/>
          <w:sz w:val="24"/>
          <w:szCs w:val="24"/>
        </w:rPr>
        <w:t xml:space="preserve">(Δ΄ 270) καταργούνται, υπό την επιφύλαξη μεταβατικών διατάξεων. Αντιθέτως, για τα γήπεδα που βρίσκονται μεν σε περιοχές εκτός ρυμοτομικών σχεδίων και εκτός ορίων των οικισμών (προ του έτους 1923 και οριοθετημένων κάτω από 2000 κατοίκων) αλλά στις οποίες έχουν καθορισθεί χρήσεις γης και όροι και περιορισμοί δόμησης από εργαλεία πολεοδομικού σχεδιασμού 1ου επιπέδου ή από διατάγματα που καθορίζουν όρους και περιορισμούς δόμησης σε περιοχές εκτός σχεδίου, οι παρεκκλίσεις της παρ. 2 του άρθρου 1 του από 24.5.1985 </w:t>
      </w:r>
      <w:proofErr w:type="spellStart"/>
      <w:r w:rsidRPr="00A41559">
        <w:rPr>
          <w:rFonts w:ascii="Times New Roman" w:hAnsi="Times New Roman" w:cs="Times New Roman"/>
          <w:sz w:val="24"/>
          <w:szCs w:val="24"/>
        </w:rPr>
        <w:t>π.δ.</w:t>
      </w:r>
      <w:proofErr w:type="spellEnd"/>
      <w:r w:rsidRPr="00A41559">
        <w:rPr>
          <w:rFonts w:ascii="Times New Roman" w:hAnsi="Times New Roman" w:cs="Times New Roman"/>
          <w:sz w:val="24"/>
          <w:szCs w:val="24"/>
        </w:rPr>
        <w:t xml:space="preserve"> διατηρούνται σε ισχύ, υπό την προϋπόθεση βέβαια ότι δεν έχουν ήδη καταργηθεί από τις ειδικές ρυθμίσεις των σχετικών </w:t>
      </w:r>
      <w:proofErr w:type="spellStart"/>
      <w:r w:rsidRPr="00A41559">
        <w:rPr>
          <w:rFonts w:ascii="Times New Roman" w:hAnsi="Times New Roman" w:cs="Times New Roman"/>
          <w:sz w:val="24"/>
          <w:szCs w:val="24"/>
        </w:rPr>
        <w:t>π.δ</w:t>
      </w:r>
      <w:proofErr w:type="spellEnd"/>
      <w:r w:rsidRPr="00A41559">
        <w:rPr>
          <w:rFonts w:ascii="Times New Roman" w:hAnsi="Times New Roman" w:cs="Times New Roman"/>
          <w:sz w:val="24"/>
          <w:szCs w:val="24"/>
        </w:rPr>
        <w:t xml:space="preserve"> ή αποφάσεων ή του πολεοδομικού σχεδιασμού πρώτου επιπέδου κάθε περιοχής. Επίσης, διευκρινίζεται ότι οι προϋποθέσεις αρτιότητας που αναφέρονται στις διατάξεις της παρ.2 του άρθρου 9 του ν.3937/2011«Διατήρηση της βιοποικιλότητας και άλλες διατάξεις» (Α’ 60), όπως ισχύει, εξακολουθούν να εφαρμόζονται δεδομένου ότι δεν καταργήθηκαν από τις διατάξεις του ν.4759/2020. Αντίστοιχα, </w:t>
      </w:r>
      <w:r w:rsidRPr="00A41559">
        <w:rPr>
          <w:rFonts w:ascii="Times New Roman" w:hAnsi="Times New Roman" w:cs="Times New Roman"/>
          <w:sz w:val="24"/>
          <w:szCs w:val="24"/>
        </w:rPr>
        <w:lastRenderedPageBreak/>
        <w:t xml:space="preserve">και οι διατάξεις του </w:t>
      </w:r>
      <w:proofErr w:type="spellStart"/>
      <w:r w:rsidRPr="00A41559">
        <w:rPr>
          <w:rFonts w:ascii="Times New Roman" w:hAnsi="Times New Roman" w:cs="Times New Roman"/>
          <w:sz w:val="24"/>
          <w:szCs w:val="24"/>
        </w:rPr>
        <w:t>π.δ</w:t>
      </w:r>
      <w:proofErr w:type="spellEnd"/>
      <w:r w:rsidRPr="00A41559">
        <w:rPr>
          <w:rFonts w:ascii="Times New Roman" w:hAnsi="Times New Roman" w:cs="Times New Roman"/>
          <w:sz w:val="24"/>
          <w:szCs w:val="24"/>
        </w:rPr>
        <w:t xml:space="preserve">/τος της 6.12.1982 (Δ’ 588) «Καθορισμός όρων και περιορισμών δομήσεως οικισμών της χώρας», αποτελούν ειδικό κανονιστικό καθεστώς και εξακολουθούν να ισχύουν μετά την εφαρμογή του ν.4759/2020, έως την έγκριση των Τ.Π.Σ./Ε.Π.Σ. ή την οριοθέτηση των οικισμών σύμφωνα με τις κείμενες διατάξεις. Όμως, για τα γήπεδα εντός της ζώνης των οκτακοσίων μέτρων (800 μ.) που δεν καταλαμβάνονται από τις διατάξεις του </w:t>
      </w:r>
      <w:proofErr w:type="spellStart"/>
      <w:r w:rsidRPr="00A41559">
        <w:rPr>
          <w:rFonts w:ascii="Times New Roman" w:hAnsi="Times New Roman" w:cs="Times New Roman"/>
          <w:sz w:val="24"/>
          <w:szCs w:val="24"/>
        </w:rPr>
        <w:t>π.δ.</w:t>
      </w:r>
      <w:proofErr w:type="spellEnd"/>
      <w:r w:rsidRPr="00A41559">
        <w:rPr>
          <w:rFonts w:ascii="Times New Roman" w:hAnsi="Times New Roman" w:cs="Times New Roman"/>
          <w:sz w:val="24"/>
          <w:szCs w:val="24"/>
        </w:rPr>
        <w:t xml:space="preserve"> της 6.12.19825, εφαρμόζονται οι διατάξεις της παρ. 1 του άρθρου 32 του ν.4759/2020.»</w:t>
      </w:r>
    </w:p>
    <w:p w14:paraId="55B4C166" w14:textId="77777777" w:rsidR="00D167A0" w:rsidRPr="00A41559" w:rsidRDefault="00D167A0" w:rsidP="00D167A0">
      <w:pPr>
        <w:spacing w:after="120" w:line="288" w:lineRule="auto"/>
        <w:ind w:left="284" w:right="284"/>
        <w:jc w:val="both"/>
        <w:rPr>
          <w:rFonts w:ascii="Times New Roman" w:hAnsi="Times New Roman" w:cs="Times New Roman"/>
          <w:sz w:val="24"/>
          <w:szCs w:val="24"/>
        </w:rPr>
      </w:pPr>
      <w:r w:rsidRPr="00A41559">
        <w:rPr>
          <w:rFonts w:ascii="Times New Roman" w:hAnsi="Times New Roman" w:cs="Times New Roman"/>
          <w:sz w:val="24"/>
          <w:szCs w:val="24"/>
        </w:rPr>
        <w:t xml:space="preserve">Στην εγκύκλιο γίνεται αναφορά και στο αντισταθμιστικό περιβαλλοντικό τέλος (προβλεπόμενο τέλος υπέρ του Πράσινου Ταμείου της παρ. 1 του άρθρου 32 του ν.4759/2020 για τη χρηματοδότηση δράσεων στις εκτός σχεδίου περιοχές που αντισταθμίζει την επιβάρυνση του περιβάλλοντος), την εκπόνηση πολεοδομικού σχεδιασμού πρώτου επιπέδου και την αναθεώρηση υπάρχοντος σχεδιασμού, σε διευκρινήσεις σχετικά με τους όρους δόμησης, τις αρμοδιότητες για τη χορήγηση παρεκκλίσεων ως προς τους όρους δόμησης, τη συνένωση γηπέδων, ενώ παρατίθενται και μεταβατικές διατάξεις. </w:t>
      </w:r>
    </w:p>
    <w:p w14:paraId="54DF2BD4" w14:textId="7482CC8F" w:rsidR="00D167A0" w:rsidRDefault="00D167A0" w:rsidP="00B1396B">
      <w:pPr>
        <w:spacing w:after="120" w:line="276" w:lineRule="auto"/>
        <w:ind w:left="284" w:right="284"/>
        <w:jc w:val="both"/>
        <w:rPr>
          <w:rFonts w:ascii="Times New Roman" w:hAnsi="Times New Roman" w:cs="Times New Roman"/>
        </w:rPr>
      </w:pPr>
    </w:p>
    <w:p w14:paraId="23F02AA7" w14:textId="1ED22330" w:rsidR="00D167A0" w:rsidRPr="00D167A0" w:rsidRDefault="00D167A0" w:rsidP="00D167A0">
      <w:pPr>
        <w:pStyle w:val="20"/>
        <w:shd w:val="clear" w:color="auto" w:fill="D9D9D9" w:themeFill="background1" w:themeFillShade="D9"/>
        <w:spacing w:before="0" w:after="240" w:line="288" w:lineRule="auto"/>
        <w:ind w:left="284" w:right="323"/>
        <w:jc w:val="center"/>
        <w:rPr>
          <w:rFonts w:ascii="Times New Roman" w:hAnsi="Times New Roman" w:cs="Times New Roman"/>
          <w:b/>
          <w:bCs/>
          <w:color w:val="auto"/>
          <w:sz w:val="24"/>
          <w:szCs w:val="24"/>
        </w:rPr>
      </w:pPr>
      <w:bookmarkStart w:id="6" w:name="_Toc122093597"/>
      <w:r>
        <w:rPr>
          <w:rFonts w:ascii="Times New Roman" w:hAnsi="Times New Roman" w:cs="Times New Roman"/>
          <w:b/>
          <w:bCs/>
          <w:color w:val="auto"/>
          <w:sz w:val="24"/>
          <w:szCs w:val="24"/>
          <w:lang w:val="en-US"/>
        </w:rPr>
        <w:t>B</w:t>
      </w:r>
      <w:r w:rsidRPr="00D167A0">
        <w:rPr>
          <w:rFonts w:ascii="Times New Roman" w:hAnsi="Times New Roman" w:cs="Times New Roman"/>
          <w:b/>
          <w:bCs/>
          <w:color w:val="auto"/>
          <w:sz w:val="24"/>
          <w:szCs w:val="24"/>
        </w:rPr>
        <w:t xml:space="preserve">. </w:t>
      </w:r>
      <w:r w:rsidR="00962409" w:rsidRPr="00D167A0">
        <w:rPr>
          <w:rFonts w:ascii="Times New Roman" w:hAnsi="Times New Roman" w:cs="Times New Roman"/>
          <w:b/>
          <w:bCs/>
          <w:color w:val="auto"/>
          <w:sz w:val="24"/>
          <w:szCs w:val="24"/>
        </w:rPr>
        <w:t xml:space="preserve">Υποχρεωτική προσβασιμότητα </w:t>
      </w:r>
      <w:r w:rsidR="00962409">
        <w:rPr>
          <w:rFonts w:ascii="Times New Roman" w:hAnsi="Times New Roman" w:cs="Times New Roman"/>
          <w:b/>
          <w:bCs/>
          <w:color w:val="auto"/>
          <w:sz w:val="24"/>
          <w:szCs w:val="24"/>
        </w:rPr>
        <w:t xml:space="preserve">ΑΜΕΑ </w:t>
      </w:r>
      <w:r w:rsidR="00962409" w:rsidRPr="00D167A0">
        <w:rPr>
          <w:rFonts w:ascii="Times New Roman" w:hAnsi="Times New Roman" w:cs="Times New Roman"/>
          <w:b/>
          <w:bCs/>
          <w:color w:val="auto"/>
          <w:sz w:val="24"/>
          <w:szCs w:val="24"/>
        </w:rPr>
        <w:t>τη νέα χρονιά σε όλα τα κτίρια</w:t>
      </w:r>
      <w:bookmarkEnd w:id="6"/>
    </w:p>
    <w:p w14:paraId="4FA0FBC5" w14:textId="18D7619A" w:rsidR="00D167A0" w:rsidRDefault="00D167A0" w:rsidP="00D167A0">
      <w:pPr>
        <w:pStyle w:val="Web"/>
        <w:shd w:val="clear" w:color="auto" w:fill="FFFFFF" w:themeFill="background1"/>
        <w:spacing w:after="120" w:line="288" w:lineRule="auto"/>
        <w:ind w:left="284" w:right="326"/>
        <w:mirrorIndents/>
        <w:jc w:val="both"/>
        <w:rPr>
          <w:b/>
          <w:bCs/>
        </w:rPr>
      </w:pPr>
      <w:r w:rsidRPr="00D167A0">
        <w:rPr>
          <w:b/>
          <w:bCs/>
        </w:rPr>
        <w:t>Εκπνέει στο τέλος του τρέχοντος έτους η παράταση της αναστολής των κυρώσεων όσον αφορά στη σύνταξη μελέτης και υλοποίηση έργων προσβασιμότητας, τόσο σε νέα, αλλά και υφιστάμενα δημόσια και ιδιωτικά κτίρια βάσει όσων προβλέπονται στο Νέο Οικοδομικό Κανονισμό και στις Τεχνικές Προδιαγραφές Μελέτης Προσβασιμότητας των κτιρίων του Υπουργείου Ενέργειας και Περιβάλλοντος.</w:t>
      </w:r>
    </w:p>
    <w:p w14:paraId="6DE789C2" w14:textId="0C52BA21" w:rsidR="00D167A0" w:rsidRPr="00D167A0" w:rsidRDefault="00962409" w:rsidP="00D167A0">
      <w:pPr>
        <w:pStyle w:val="Web"/>
        <w:shd w:val="clear" w:color="auto" w:fill="FFFFFF" w:themeFill="background1"/>
        <w:spacing w:after="120" w:line="288" w:lineRule="auto"/>
        <w:ind w:left="284" w:right="326"/>
        <w:mirrorIndents/>
        <w:jc w:val="both"/>
        <w:rPr>
          <w:color w:val="252525"/>
        </w:rPr>
      </w:pPr>
      <w:r>
        <w:rPr>
          <w:b/>
          <w:color w:val="252525"/>
        </w:rPr>
        <w:t>Ε</w:t>
      </w:r>
      <w:r w:rsidR="00D167A0" w:rsidRPr="00D167A0">
        <w:rPr>
          <w:b/>
          <w:color w:val="252525"/>
        </w:rPr>
        <w:t>ιδικότερα από την 1η Ιανουαρίου 2023</w:t>
      </w:r>
      <w:r w:rsidR="00D167A0" w:rsidRPr="00D167A0">
        <w:rPr>
          <w:color w:val="252525"/>
        </w:rPr>
        <w:t xml:space="preserve"> ισχύει η αυστηρή πρόβλεψη για τις νέες οικοδομές, υφιστάμενα κτίρια κατοικίας, καθώς και δημόσια κτίρια, ότι εφόσον δεν πληρούν τους κανόνες προσβασιμότητας κηρύσσονται αυτομάτως αυθαίρετα με ότι αυτό συνεπάγεται. Καθίσταται, δηλαδή, </w:t>
      </w:r>
      <w:r w:rsidR="00D167A0" w:rsidRPr="00D167A0">
        <w:rPr>
          <w:rStyle w:val="a8"/>
          <w:rFonts w:eastAsiaTheme="majorEastAsia"/>
          <w:color w:val="252525"/>
        </w:rPr>
        <w:t>υποχρεωτική στις νέες οικοδομικές άδειες η σύνταξη μελέτης προσβασιμότητας με ευθύνη του μηχανικού</w:t>
      </w:r>
      <w:r w:rsidR="00D167A0" w:rsidRPr="00D167A0">
        <w:rPr>
          <w:color w:val="252525"/>
        </w:rPr>
        <w:t>. Τόσο στα</w:t>
      </w:r>
      <w:r w:rsidR="00D167A0" w:rsidRPr="00D167A0">
        <w:rPr>
          <w:rStyle w:val="a8"/>
          <w:rFonts w:eastAsiaTheme="majorEastAsia"/>
          <w:color w:val="252525"/>
        </w:rPr>
        <w:t> ιδιωτικά κτίρια κατοικίας</w:t>
      </w:r>
      <w:r w:rsidR="00D167A0" w:rsidRPr="00D167A0">
        <w:rPr>
          <w:color w:val="252525"/>
        </w:rPr>
        <w:t xml:space="preserve">, που έχουν ανεγερθεί με οικοδομική άδεια </w:t>
      </w:r>
      <w:r w:rsidR="00D167A0" w:rsidRPr="00D167A0">
        <w:rPr>
          <w:b/>
          <w:color w:val="252525"/>
        </w:rPr>
        <w:t>μετά τις 9/4/2012</w:t>
      </w:r>
      <w:r w:rsidR="00D167A0" w:rsidRPr="00D167A0">
        <w:rPr>
          <w:color w:val="252525"/>
        </w:rPr>
        <w:t> (ημερομηνία έναρξης εφαρμογής του Νέου Οικοδομικού Κανονισμού (ΝΟΚ) - ν.4067/2012), όσο και στα </w:t>
      </w:r>
      <w:r w:rsidR="00D167A0" w:rsidRPr="00D167A0">
        <w:rPr>
          <w:rStyle w:val="a8"/>
          <w:rFonts w:eastAsiaTheme="majorEastAsia"/>
          <w:color w:val="252525"/>
        </w:rPr>
        <w:t>υφιστάμενα κτίρια</w:t>
      </w:r>
      <w:r w:rsidR="00D167A0" w:rsidRPr="00D167A0">
        <w:rPr>
          <w:color w:val="252525"/>
        </w:rPr>
        <w:t>, (αυτά που έχουν ανεγερθεί με οικοδομική άδεια προ της 9/4/2012) πρέπει να έχουν γίνει τα προβλεπόμενα έργα και να τηρούνται οι κανόνες προσβασιμότητας. Επίσης </w:t>
      </w:r>
      <w:r w:rsidR="00D167A0" w:rsidRPr="00D167A0">
        <w:rPr>
          <w:rStyle w:val="a8"/>
          <w:rFonts w:eastAsiaTheme="majorEastAsia"/>
          <w:color w:val="252525"/>
        </w:rPr>
        <w:t>στα κτίρια του δημοσίου και των δήμων</w:t>
      </w:r>
      <w:r w:rsidR="00D167A0" w:rsidRPr="00D167A0">
        <w:rPr>
          <w:color w:val="252525"/>
        </w:rPr>
        <w:t> και σε πλήθος άλλων κτιρίων δημοσίου ενδιαφέροντος </w:t>
      </w:r>
      <w:r w:rsidR="00D167A0" w:rsidRPr="00D167A0">
        <w:rPr>
          <w:rStyle w:val="a8"/>
          <w:rFonts w:eastAsiaTheme="majorEastAsia"/>
          <w:color w:val="252525"/>
        </w:rPr>
        <w:t>επιβάλλεται να γίνουν οι απαραίτητες διαμορφώσεις, ώστε οι λειτουργικοί χώροι τους να είναι προσπελάσιμοι από άτομα με αναπηρία ή εμποδιζόμενα άτομα.</w:t>
      </w:r>
    </w:p>
    <w:p w14:paraId="669CC578" w14:textId="77777777" w:rsidR="00D167A0" w:rsidRPr="00D167A0" w:rsidRDefault="00D167A0" w:rsidP="00D167A0">
      <w:pPr>
        <w:pStyle w:val="Web"/>
        <w:shd w:val="clear" w:color="auto" w:fill="FFFFFF" w:themeFill="background1"/>
        <w:spacing w:after="120" w:line="288" w:lineRule="auto"/>
        <w:ind w:left="284" w:right="326"/>
        <w:mirrorIndents/>
        <w:jc w:val="both"/>
        <w:rPr>
          <w:color w:val="252525"/>
        </w:rPr>
      </w:pPr>
      <w:r w:rsidRPr="00D167A0">
        <w:rPr>
          <w:color w:val="252525"/>
        </w:rPr>
        <w:t>Χρειάζεται να τονισθεί πως τα έργα και οι μελέτες προσβασιμότητας στα κτίρια επαφίενται στους ιδιοκτήτες, εντούτοις</w:t>
      </w:r>
      <w:r w:rsidRPr="00D167A0">
        <w:rPr>
          <w:rStyle w:val="a8"/>
          <w:rFonts w:eastAsiaTheme="majorEastAsia"/>
          <w:color w:val="252525"/>
        </w:rPr>
        <w:t xml:space="preserve"> η μη συμμόρφωση των ιδιοκτητών θα </w:t>
      </w:r>
      <w:r w:rsidRPr="00D167A0">
        <w:rPr>
          <w:rStyle w:val="a8"/>
          <w:rFonts w:eastAsiaTheme="majorEastAsia"/>
          <w:color w:val="252525"/>
        </w:rPr>
        <w:lastRenderedPageBreak/>
        <w:t>οδηγήσει στην υποχρέωση πλήρους προσαρμογής και στις κυρώσεις που προβλέπονται σε ενδεχόμενη δικαιοπραξία ή διοικητική πράξη</w:t>
      </w:r>
      <w:r w:rsidRPr="00D167A0">
        <w:rPr>
          <w:color w:val="252525"/>
        </w:rPr>
        <w:t>, όταν, δηλαδή, θα θελήσουν να μισθώσουν, να μεταβιβάσουν, να τροποποιήσουν ή να τακτοποιήσουν αυθαίρετες χρήσεις για να μπουν σε επιδοτούμενα προγράμματα εξοικονόμησης ενέργειας είτε να εκδώσουν οικοδομική άδεια του ακινήτου τους, για οποιοδήποτε πολεοδομικό η κατασκευαστικό σκοπό. Οι κυρώσεις προβλέπονται στο ίδιο άρθρο 26 του ΝΟΚ από το 2012 και η</w:t>
      </w:r>
      <w:r w:rsidRPr="00D167A0">
        <w:rPr>
          <w:rStyle w:val="a8"/>
          <w:rFonts w:eastAsiaTheme="majorEastAsia"/>
          <w:color w:val="252525"/>
        </w:rPr>
        <w:t xml:space="preserve"> αναστολή τους αρχικά έληγε την 31.12.2020, αλλά κατόπιν παρατάθηκε για μια διετία  έως την 31/12/2022, που είναι η ισχύουσα καταληκτική ημερομηνία</w:t>
      </w:r>
      <w:r w:rsidRPr="00D167A0">
        <w:rPr>
          <w:color w:val="252525"/>
        </w:rPr>
        <w:t>.</w:t>
      </w:r>
    </w:p>
    <w:p w14:paraId="1BD809B5" w14:textId="77777777" w:rsidR="00962409" w:rsidRDefault="00D167A0" w:rsidP="00D167A0">
      <w:pPr>
        <w:spacing w:after="120" w:line="288" w:lineRule="auto"/>
        <w:ind w:left="284" w:right="326"/>
        <w:jc w:val="both"/>
        <w:rPr>
          <w:rFonts w:ascii="Times New Roman" w:hAnsi="Times New Roman" w:cs="Times New Roman"/>
          <w:color w:val="252525"/>
          <w:sz w:val="24"/>
          <w:szCs w:val="24"/>
        </w:rPr>
      </w:pPr>
      <w:r w:rsidRPr="00D167A0">
        <w:rPr>
          <w:rFonts w:ascii="Times New Roman" w:hAnsi="Times New Roman" w:cs="Times New Roman"/>
          <w:color w:val="252525"/>
          <w:sz w:val="24"/>
          <w:szCs w:val="24"/>
        </w:rPr>
        <w:t>Ακολούθως παρατίθεται διεξοδικά τι</w:t>
      </w:r>
      <w:r w:rsidRPr="00D167A0">
        <w:rPr>
          <w:rStyle w:val="a8"/>
          <w:rFonts w:ascii="Times New Roman" w:hAnsi="Times New Roman" w:cs="Times New Roman"/>
          <w:color w:val="252525"/>
          <w:sz w:val="24"/>
          <w:szCs w:val="24"/>
        </w:rPr>
        <w:t xml:space="preserve"> ισχύει για παλαιά και νέα δημόσια και ιδιωτικά κτίρια αναφορικά με</w:t>
      </w:r>
      <w:r w:rsidRPr="00D167A0">
        <w:rPr>
          <w:rFonts w:ascii="Times New Roman" w:hAnsi="Times New Roman" w:cs="Times New Roman"/>
          <w:b/>
          <w:color w:val="252525"/>
          <w:sz w:val="24"/>
          <w:szCs w:val="24"/>
        </w:rPr>
        <w:t xml:space="preserve"> τα έργα και της μελέτες για την προσβασιμότητα ατόμων με αναπηρία και εμποδιζόμενα άτομα στα κτίρια, με βάση το άρθρο 26 του Νέου Οικοδομικού Κανονισμού - </w:t>
      </w:r>
      <w:r w:rsidRPr="00D167A0">
        <w:rPr>
          <w:rFonts w:ascii="Times New Roman" w:hAnsi="Times New Roman" w:cs="Times New Roman"/>
          <w:color w:val="252525"/>
          <w:sz w:val="24"/>
          <w:szCs w:val="24"/>
        </w:rPr>
        <w:t xml:space="preserve">ν.4067/2012 (79Α’) και πιο συγκεκριμένα για κτίρια που έχουν ανεγερθεί με οικοδομική άδεια από τις 9/4/2012 κι έπειτα,  και για αυτά που έχουν ανεγερθεί με οικοδομική άδεια προ της 9/4/2012 που είναι η ημερομηνία έναρξης εφαρμογής του ΝΟΚ που θεωρούνται υφιστάμενα κτίρια. </w:t>
      </w:r>
    </w:p>
    <w:p w14:paraId="27507F50" w14:textId="2AB278FB" w:rsidR="00D167A0" w:rsidRPr="00D167A0" w:rsidRDefault="00D167A0" w:rsidP="00D167A0">
      <w:pPr>
        <w:spacing w:after="120" w:line="288" w:lineRule="auto"/>
        <w:ind w:left="284" w:right="326"/>
        <w:jc w:val="both"/>
        <w:rPr>
          <w:rFonts w:ascii="Times New Roman" w:hAnsi="Times New Roman" w:cs="Times New Roman"/>
          <w:color w:val="252525"/>
          <w:sz w:val="24"/>
          <w:szCs w:val="24"/>
        </w:rPr>
      </w:pPr>
      <w:r w:rsidRPr="00D167A0">
        <w:rPr>
          <w:rFonts w:ascii="Times New Roman" w:hAnsi="Times New Roman" w:cs="Times New Roman"/>
          <w:color w:val="252525"/>
          <w:sz w:val="24"/>
          <w:szCs w:val="24"/>
        </w:rPr>
        <w:t>Αναλυτικότερα:</w:t>
      </w:r>
    </w:p>
    <w:p w14:paraId="5630D70F" w14:textId="77777777" w:rsidR="00D167A0" w:rsidRPr="00D167A0" w:rsidRDefault="00D167A0" w:rsidP="00CB218B">
      <w:pPr>
        <w:pStyle w:val="Web"/>
        <w:numPr>
          <w:ilvl w:val="0"/>
          <w:numId w:val="18"/>
        </w:numPr>
        <w:shd w:val="clear" w:color="auto" w:fill="FFFFFF" w:themeFill="background1"/>
        <w:spacing w:after="120" w:line="288" w:lineRule="auto"/>
        <w:ind w:left="709" w:right="326" w:hanging="425"/>
        <w:mirrorIndents/>
        <w:jc w:val="both"/>
        <w:rPr>
          <w:color w:val="252525"/>
        </w:rPr>
      </w:pPr>
      <w:r w:rsidRPr="00D167A0">
        <w:rPr>
          <w:rStyle w:val="a8"/>
          <w:rFonts w:eastAsiaTheme="majorEastAsia"/>
          <w:color w:val="252525"/>
        </w:rPr>
        <w:t>Για κτίρια για κάθε χρήση - εκτός από κατοικία - των οποίων η οικοδομική άδεια εκδόθηκε και ανεγέρθηκαν από 9/4/2012 και μετά επιβάλλεται να εξασφαλίζεται:</w:t>
      </w:r>
    </w:p>
    <w:p w14:paraId="2AB740BA" w14:textId="08C53110" w:rsidR="00D167A0" w:rsidRPr="00D167A0" w:rsidRDefault="00D167A0" w:rsidP="00962409">
      <w:pPr>
        <w:pStyle w:val="Web"/>
        <w:shd w:val="clear" w:color="auto" w:fill="FFFFFF" w:themeFill="background1"/>
        <w:spacing w:after="120" w:line="288" w:lineRule="auto"/>
        <w:ind w:right="326"/>
        <w:mirrorIndents/>
        <w:jc w:val="both"/>
        <w:rPr>
          <w:color w:val="252525"/>
        </w:rPr>
      </w:pPr>
      <w:r w:rsidRPr="00D167A0">
        <w:rPr>
          <w:color w:val="252525"/>
        </w:rPr>
        <w:t>α)  η οριζόντια και κατακόρυφη, αυτόνομη και ασφαλής προσπέλαση από άτομα με αναπηρία και εμποδιζόμενα άτομα και η εξυπηρέτηση αυτών σε όλους τους εξωτερικούς και εσωτερικούς χώρους των κτιρίων, σύμφωνα με τις Οδηγίες Σχεδιασμού του Υπουργείου Περιβάλλοντος και Ενέργειας «Σχεδιάζοντας για Όλους»,</w:t>
      </w:r>
    </w:p>
    <w:p w14:paraId="533AF716" w14:textId="77777777" w:rsidR="00D167A0" w:rsidRPr="00D167A0" w:rsidRDefault="00D167A0" w:rsidP="00962409">
      <w:pPr>
        <w:pStyle w:val="Web"/>
        <w:shd w:val="clear" w:color="auto" w:fill="FFFFFF" w:themeFill="background1"/>
        <w:spacing w:after="120" w:line="288" w:lineRule="auto"/>
        <w:ind w:right="326"/>
        <w:mirrorIndents/>
        <w:jc w:val="both"/>
        <w:rPr>
          <w:color w:val="252525"/>
        </w:rPr>
      </w:pPr>
      <w:r w:rsidRPr="00D167A0">
        <w:rPr>
          <w:color w:val="252525"/>
        </w:rPr>
        <w:t xml:space="preserve">β) η πρόβλεψη </w:t>
      </w:r>
      <w:proofErr w:type="spellStart"/>
      <w:r w:rsidRPr="00D167A0">
        <w:rPr>
          <w:color w:val="252525"/>
        </w:rPr>
        <w:t>προσβάσιμων</w:t>
      </w:r>
      <w:proofErr w:type="spellEnd"/>
      <w:r w:rsidRPr="00D167A0">
        <w:rPr>
          <w:color w:val="252525"/>
        </w:rPr>
        <w:t xml:space="preserve"> σε άτομα με αναπηρία ή εμποδιζόμενα άτομα χώρων υγιεινής σε ποσοστό 5% των συνολικών χώρων υγιεινής για χρήση κοινού και οπωσδήποτε τουλάχιστον ένας ανά συγκρότημα χώρων υγιεινής, ο οποίος μπορεί να έχει μικτή χρήση (ανδρών/ γυναικών).</w:t>
      </w:r>
    </w:p>
    <w:p w14:paraId="1825E6D4" w14:textId="49F91409" w:rsidR="00D167A0" w:rsidRDefault="00D167A0" w:rsidP="00D167A0">
      <w:pPr>
        <w:pStyle w:val="Web"/>
        <w:shd w:val="clear" w:color="auto" w:fill="FFFFFF" w:themeFill="background1"/>
        <w:spacing w:after="120" w:line="288" w:lineRule="auto"/>
        <w:ind w:left="284" w:right="326"/>
        <w:mirrorIndents/>
        <w:jc w:val="both"/>
        <w:rPr>
          <w:color w:val="252525"/>
        </w:rPr>
      </w:pPr>
      <w:r w:rsidRPr="00D167A0">
        <w:rPr>
          <w:color w:val="252525"/>
        </w:rPr>
        <w:t xml:space="preserve">Οι παραπάνω </w:t>
      </w:r>
      <w:proofErr w:type="spellStart"/>
      <w:r w:rsidRPr="00D167A0">
        <w:rPr>
          <w:color w:val="252525"/>
        </w:rPr>
        <w:t>προσβάσιμοι</w:t>
      </w:r>
      <w:proofErr w:type="spellEnd"/>
      <w:r w:rsidRPr="00D167A0">
        <w:rPr>
          <w:color w:val="252525"/>
        </w:rPr>
        <w:t xml:space="preserve"> χώροι υγιεινής συνυπολογίζονται στον αριθμό χώρων υγιεινής που επιβάλλεται ανά χρήση από άλλες διατάξεις. Εφόσον τα παραπάνω κτίρια διαθέτουν χώρους στάθμευσης, τότε το ποσοστό 5% αυτών ή τουλάχιστον ένας θα διαμορφώνεται κατάλληλα για χρήση αναπηρικών αυτοκινήτων.</w:t>
      </w:r>
    </w:p>
    <w:p w14:paraId="73826858" w14:textId="77777777" w:rsidR="00962409" w:rsidRPr="00D167A0" w:rsidRDefault="00962409" w:rsidP="00D167A0">
      <w:pPr>
        <w:pStyle w:val="Web"/>
        <w:shd w:val="clear" w:color="auto" w:fill="FFFFFF" w:themeFill="background1"/>
        <w:spacing w:after="120" w:line="288" w:lineRule="auto"/>
        <w:ind w:left="284" w:right="326"/>
        <w:mirrorIndents/>
        <w:jc w:val="both"/>
        <w:rPr>
          <w:color w:val="252525"/>
        </w:rPr>
      </w:pPr>
    </w:p>
    <w:p w14:paraId="011512B5" w14:textId="77777777" w:rsidR="00D167A0" w:rsidRPr="00D167A0" w:rsidRDefault="00D167A0" w:rsidP="00CB218B">
      <w:pPr>
        <w:pStyle w:val="Web"/>
        <w:numPr>
          <w:ilvl w:val="0"/>
          <w:numId w:val="18"/>
        </w:numPr>
        <w:shd w:val="clear" w:color="auto" w:fill="FFFFFF" w:themeFill="background1"/>
        <w:tabs>
          <w:tab w:val="left" w:pos="284"/>
        </w:tabs>
        <w:spacing w:after="120" w:line="288" w:lineRule="auto"/>
        <w:ind w:left="284" w:right="326" w:firstLine="0"/>
        <w:mirrorIndents/>
        <w:jc w:val="both"/>
        <w:rPr>
          <w:b/>
          <w:color w:val="252525"/>
        </w:rPr>
      </w:pPr>
      <w:r w:rsidRPr="00D167A0">
        <w:rPr>
          <w:rStyle w:val="a8"/>
          <w:rFonts w:eastAsiaTheme="majorEastAsia"/>
          <w:color w:val="252525"/>
        </w:rPr>
        <w:t xml:space="preserve">Για κτίρια με χρήση κατοικίας που ανεγέρθηκαν από την 9/4/2012 και μετά επιβάλλεται </w:t>
      </w:r>
      <w:r w:rsidRPr="00D167A0">
        <w:rPr>
          <w:color w:val="252525"/>
        </w:rPr>
        <w:t xml:space="preserve">να εξασφαλίζεται η αυτόνομη και ασφαλής οριζόντια και κατακόρυφη προσπέλαση από άτομα με αναπηρία ή εμποδιζόμενα άτομα σε όλους </w:t>
      </w:r>
      <w:r w:rsidRPr="00D167A0">
        <w:rPr>
          <w:color w:val="252525"/>
        </w:rPr>
        <w:lastRenderedPageBreak/>
        <w:t xml:space="preserve">τους εξωτερικούς και εσωτερικούς κοινόχρηστους χώρους των κτιρίων κατοικίας, καθώς και η διασφάλιση συνθηκών εύκολης μετατρεψιμότητας των κατοικιών σε κατοικίες μελλοντικών χρηστών με αναπηρία/εμποδιζόμενων ατόμων, χωρίς να θίγεται ο φέρων οργανισμός του κτιρίου. </w:t>
      </w:r>
      <w:r w:rsidRPr="00D167A0">
        <w:rPr>
          <w:b/>
          <w:color w:val="252525"/>
        </w:rPr>
        <w:t>Εν κατακλείδι, σε κάθε κτίριο ή δομική εγκατάσταση πρέπει να εξασφαλίζεται η προσβασιμότητα αυτού σε όλους, χωρίς φραγμούς.</w:t>
      </w:r>
    </w:p>
    <w:p w14:paraId="207B6C5E" w14:textId="2AF5E78F" w:rsidR="00D167A0" w:rsidRDefault="00D167A0" w:rsidP="00D167A0">
      <w:pPr>
        <w:pStyle w:val="Web"/>
        <w:shd w:val="clear" w:color="auto" w:fill="FFFFFF" w:themeFill="background1"/>
        <w:spacing w:after="120" w:line="288" w:lineRule="auto"/>
        <w:ind w:left="284" w:right="326"/>
        <w:mirrorIndents/>
        <w:jc w:val="both"/>
        <w:rPr>
          <w:color w:val="252525"/>
        </w:rPr>
      </w:pPr>
      <w:r w:rsidRPr="00D167A0">
        <w:rPr>
          <w:color w:val="252525"/>
        </w:rPr>
        <w:t xml:space="preserve">Η παραπάνω δυνατότητα αυτόνομης και ασφαλούς προσπέλασης όλων των κτιρίων από άτομα με αναπηρία ή εμποδιζόμενα άτομα και η εξυπηρέτηση αυτών εξασφαλίζεται με </w:t>
      </w:r>
      <w:proofErr w:type="spellStart"/>
      <w:r w:rsidRPr="00D167A0">
        <w:rPr>
          <w:color w:val="252525"/>
        </w:rPr>
        <w:t>προσβάσιμες</w:t>
      </w:r>
      <w:proofErr w:type="spellEnd"/>
      <w:r w:rsidRPr="00D167A0">
        <w:rPr>
          <w:color w:val="252525"/>
        </w:rPr>
        <w:t xml:space="preserve"> οριζόντιες και κατακόρυφες οδεύσεις, που αρχίζουν από τη στάθμη του πεζοδρομίου και φτάνουν μέχρι την πόρτα του ανελκυστήρα και τους εσωτερικούς και εξωτερικούς χώρους των κτιρίων αυτών και αποτελούνται από στοιχεία κατάλληλων προδιαγραφών, όπως ράμπες, αναβατόρια, ανελκυστήρες, με την πρόβλεψη προστατευμένων </w:t>
      </w:r>
      <w:proofErr w:type="spellStart"/>
      <w:r w:rsidRPr="00D167A0">
        <w:rPr>
          <w:color w:val="252525"/>
        </w:rPr>
        <w:t>προσβάσιμων</w:t>
      </w:r>
      <w:proofErr w:type="spellEnd"/>
      <w:r w:rsidRPr="00D167A0">
        <w:rPr>
          <w:color w:val="252525"/>
        </w:rPr>
        <w:t xml:space="preserve"> χώρων αναμονής σε περίπτωση έκτακτων αναγκών σε κάθε όροφο σε αναλογία ένας χώρος με μία θέση </w:t>
      </w:r>
      <w:proofErr w:type="spellStart"/>
      <w:r w:rsidRPr="00D167A0">
        <w:rPr>
          <w:color w:val="252525"/>
        </w:rPr>
        <w:t>αμαξιδίου</w:t>
      </w:r>
      <w:proofErr w:type="spellEnd"/>
      <w:r w:rsidRPr="00D167A0">
        <w:rPr>
          <w:color w:val="252525"/>
        </w:rPr>
        <w:t xml:space="preserve">, όταν ο πληθυσμός του ορόφου είναι μικρότερος από διακόσια (200) άτομα ή ένας (1) χώρος με δύο θέσεις </w:t>
      </w:r>
      <w:proofErr w:type="spellStart"/>
      <w:r w:rsidRPr="00D167A0">
        <w:rPr>
          <w:color w:val="252525"/>
        </w:rPr>
        <w:t>αμαξιδίου</w:t>
      </w:r>
      <w:proofErr w:type="spellEnd"/>
      <w:r w:rsidRPr="00D167A0">
        <w:rPr>
          <w:color w:val="252525"/>
        </w:rPr>
        <w:t>, όταν ο πληθυσμός του ορόφου είναι μεγαλύτερος από διακόσια (200) άτομα.</w:t>
      </w:r>
    </w:p>
    <w:p w14:paraId="36C124ED" w14:textId="77777777" w:rsidR="00962409" w:rsidRPr="00D167A0" w:rsidRDefault="00962409" w:rsidP="00D167A0">
      <w:pPr>
        <w:pStyle w:val="Web"/>
        <w:shd w:val="clear" w:color="auto" w:fill="FFFFFF" w:themeFill="background1"/>
        <w:spacing w:after="120" w:line="288" w:lineRule="auto"/>
        <w:ind w:left="284" w:right="326"/>
        <w:mirrorIndents/>
        <w:jc w:val="both"/>
        <w:rPr>
          <w:color w:val="252525"/>
        </w:rPr>
      </w:pPr>
    </w:p>
    <w:p w14:paraId="39F917FC" w14:textId="77777777" w:rsidR="00D167A0" w:rsidRPr="00D167A0" w:rsidRDefault="00D167A0" w:rsidP="00CB218B">
      <w:pPr>
        <w:pStyle w:val="Web"/>
        <w:numPr>
          <w:ilvl w:val="0"/>
          <w:numId w:val="18"/>
        </w:numPr>
        <w:shd w:val="clear" w:color="auto" w:fill="FFFFFF" w:themeFill="background1"/>
        <w:tabs>
          <w:tab w:val="left" w:pos="284"/>
        </w:tabs>
        <w:spacing w:after="120" w:line="288" w:lineRule="auto"/>
        <w:ind w:left="284" w:right="326" w:firstLine="0"/>
        <w:mirrorIndents/>
        <w:jc w:val="both"/>
        <w:rPr>
          <w:color w:val="252525"/>
        </w:rPr>
      </w:pPr>
      <w:r w:rsidRPr="00D167A0">
        <w:rPr>
          <w:rStyle w:val="a8"/>
          <w:rFonts w:eastAsiaTheme="majorEastAsia"/>
          <w:color w:val="252525"/>
        </w:rPr>
        <w:t>Ειδικότερα για τα υφιστάμενα προ της 9/4/2012 κτίρια του Δημοσίου και λοιπών κτιρίων με χρήσεις που αναφέρονται πιο κάτω εκτός από κατοικία</w:t>
      </w:r>
      <w:r w:rsidRPr="00D167A0">
        <w:rPr>
          <w:rStyle w:val="a8"/>
          <w:rFonts w:eastAsiaTheme="majorEastAsia"/>
          <w:color w:val="FF0000"/>
        </w:rPr>
        <w:t xml:space="preserve"> </w:t>
      </w:r>
      <w:r w:rsidRPr="00D167A0">
        <w:rPr>
          <w:color w:val="252525"/>
        </w:rPr>
        <w:t xml:space="preserve">που στεγάζονται φορείς της παρ. 1 του άρθρου 14 του ν. 4270/2014 (Α’ 143) (αφορά κτίρια της Γενικής Κυβέρνησης, ΟΤΑ, Δήμων </w:t>
      </w:r>
      <w:proofErr w:type="spellStart"/>
      <w:r w:rsidRPr="00D167A0">
        <w:rPr>
          <w:color w:val="252525"/>
        </w:rPr>
        <w:t>κτλ</w:t>
      </w:r>
      <w:proofErr w:type="spellEnd"/>
      <w:r w:rsidRPr="00D167A0">
        <w:rPr>
          <w:color w:val="252525"/>
        </w:rPr>
        <w:t xml:space="preserve"> και των Νομικών προσώπων τους) ή έχουν χρήσεις συνάθροισης κοινού, όπως χώροι συνεδρίων, εκθέσεων, μουσείων, συναυλιών, αθλητικών ή πολιτιστικών συγκεντρώσεων, ναοί, θέατρα, κινηματογράφοι, εστιατόρια, ζαχαροπλαστεία, καφενεία, κέντρα διασκέδασης, αίθουσες πολλαπλών χρήσεων, αίθουσες αναμονής επιβατών, τράπεζες, ανταλλακτήρια, χώροι προσωρινής διαμονής, εκπαίδευσης, υγείας και κοινωνικής πρόνοιας, δικαιοσύνης και σωφρονισμού, γραφείων και εμπορίου, βιομηχανίας και βιοτεχνίας, καθώς και στους χώρους στάθμευσης αυτοκινήτων και πρατηρίων καυσίμων, </w:t>
      </w:r>
      <w:r w:rsidRPr="00D167A0">
        <w:rPr>
          <w:rStyle w:val="a8"/>
          <w:rFonts w:eastAsiaTheme="majorEastAsia"/>
          <w:color w:val="252525"/>
        </w:rPr>
        <w:t>επιβάλλεται να γίνουν οι απαραίτητες διαμορφώσεις, ώστε οι λειτουργικοί χώροι τους να είναι προσπελάσιμοι από άτομα με αναπηρία ή εμποδιζόμενα άτομα.</w:t>
      </w:r>
    </w:p>
    <w:p w14:paraId="3758A9D8" w14:textId="77777777" w:rsidR="00962409" w:rsidRDefault="00D167A0" w:rsidP="00962409">
      <w:pPr>
        <w:pStyle w:val="Web"/>
        <w:shd w:val="clear" w:color="auto" w:fill="FFFFFF" w:themeFill="background1"/>
        <w:spacing w:after="120" w:line="288" w:lineRule="auto"/>
        <w:ind w:left="284" w:right="326"/>
        <w:mirrorIndents/>
        <w:jc w:val="both"/>
        <w:rPr>
          <w:color w:val="252525"/>
        </w:rPr>
      </w:pPr>
      <w:r w:rsidRPr="00D167A0">
        <w:rPr>
          <w:color w:val="252525"/>
        </w:rPr>
        <w:t xml:space="preserve">Οι εν λόγω διαμορφώσεις που αναφέρονται στην παρούσα κατηγορία γίνονται σύμφωνα με τις τεχνικές οδηγίες προσαρμογής υφιστάμενων κτιρίων και υποδομών της σχετικής υπουργικής απόφασης όπως εκδόθηκε και ισχύει και παρατίθενται συνοπτικά στη συνέχεια, ενώ, όπως προαναφέρθηκε, ολοκληρώνονται μέχρι την 31.12.2022, με την προϋπόθεση ότι δεν θίγεται ο φέρων οργανισμός του κτιρίου, άλλως τα κτίρια καθίστανται αυθαίρετα. </w:t>
      </w:r>
      <w:r w:rsidR="00962409">
        <w:rPr>
          <w:color w:val="252525"/>
        </w:rPr>
        <w:t xml:space="preserve"> </w:t>
      </w:r>
    </w:p>
    <w:p w14:paraId="10FDAAE7" w14:textId="5F789CDB" w:rsidR="00D167A0" w:rsidRPr="00D167A0" w:rsidRDefault="00D167A0" w:rsidP="00962409">
      <w:pPr>
        <w:pStyle w:val="Web"/>
        <w:shd w:val="clear" w:color="auto" w:fill="FFFFFF" w:themeFill="background1"/>
        <w:spacing w:after="120" w:line="288" w:lineRule="auto"/>
        <w:ind w:left="284" w:right="326"/>
        <w:mirrorIndents/>
        <w:jc w:val="both"/>
        <w:rPr>
          <w:color w:val="252525"/>
        </w:rPr>
      </w:pPr>
      <w:r w:rsidRPr="00D167A0">
        <w:rPr>
          <w:rStyle w:val="a8"/>
          <w:rFonts w:eastAsiaTheme="majorEastAsia"/>
          <w:color w:val="252525"/>
        </w:rPr>
        <w:lastRenderedPageBreak/>
        <w:t>Επίσης χρειάζεται να διευκρινισθεί πως δύναται να πραγματοποιηθούν από τον ενδιαφερόμενο και με δαπάνες του, χωρίς τη συναίνεση των λοιπών συνιδιοκτητών, κατά παρέκκλιση των προβλεπόμενων στον Κανονισμό του κτιρίου</w:t>
      </w:r>
      <w:r w:rsidRPr="00D167A0">
        <w:rPr>
          <w:rStyle w:val="a8"/>
          <w:rFonts w:eastAsiaTheme="majorEastAsia"/>
        </w:rPr>
        <w:t>,</w:t>
      </w:r>
      <w:r w:rsidRPr="00D167A0">
        <w:rPr>
          <w:color w:val="252525"/>
        </w:rPr>
        <w:t xml:space="preserve"> κατόπιν απόφασης της Κεντρικής Επιτροπής Προσβασιμότητας του άρθρου 19 του ν. 4495/2017 (Α’ 167), που εκδίδεται μετά από σχετική αίτηση του ενδιαφερόμενου, η οποία συνοδεύεται από:</w:t>
      </w:r>
    </w:p>
    <w:p w14:paraId="6E92078D" w14:textId="77777777" w:rsidR="00D167A0" w:rsidRPr="00D167A0" w:rsidRDefault="00D167A0" w:rsidP="00D167A0">
      <w:pPr>
        <w:pStyle w:val="Web"/>
        <w:shd w:val="clear" w:color="auto" w:fill="FFFFFF" w:themeFill="background1"/>
        <w:spacing w:after="120" w:line="288" w:lineRule="auto"/>
        <w:ind w:left="284" w:right="326"/>
        <w:mirrorIndents/>
        <w:jc w:val="both"/>
        <w:rPr>
          <w:color w:val="252525"/>
        </w:rPr>
      </w:pPr>
      <w:r w:rsidRPr="00D167A0">
        <w:rPr>
          <w:color w:val="252525"/>
        </w:rPr>
        <w:t>α) πρόσκληση των λοιπών συνιδιοκτητών για την διατύπωση απόψεων προς την Επιτροπή, με τα αποδεικτικά κοινοποίησής της,</w:t>
      </w:r>
    </w:p>
    <w:p w14:paraId="7338AFCB" w14:textId="77777777" w:rsidR="00D167A0" w:rsidRPr="00D167A0" w:rsidRDefault="00D167A0" w:rsidP="00D167A0">
      <w:pPr>
        <w:pStyle w:val="Web"/>
        <w:shd w:val="clear" w:color="auto" w:fill="FFFFFF" w:themeFill="background1"/>
        <w:spacing w:after="120" w:line="288" w:lineRule="auto"/>
        <w:ind w:left="284" w:right="326"/>
        <w:mirrorIndents/>
        <w:jc w:val="both"/>
        <w:rPr>
          <w:color w:val="252525"/>
        </w:rPr>
      </w:pPr>
      <w:r w:rsidRPr="00D167A0">
        <w:rPr>
          <w:color w:val="252525"/>
        </w:rPr>
        <w:t>β) τεχνική έκθεση μηχανικού, με την οποία τεκμηριώνεται ότι η προτεινόμενη διαμόρφωση δεν παρεμποδίζει τη λειτουργία των κοινόχρηστων μερών της πολυκατοικίας και των ιδιοκτησιών και</w:t>
      </w:r>
    </w:p>
    <w:p w14:paraId="60BCFD73" w14:textId="77777777" w:rsidR="00D167A0" w:rsidRPr="00D167A0" w:rsidRDefault="00D167A0" w:rsidP="00D167A0">
      <w:pPr>
        <w:pStyle w:val="Web"/>
        <w:shd w:val="clear" w:color="auto" w:fill="FFFFFF" w:themeFill="background1"/>
        <w:spacing w:after="120" w:line="288" w:lineRule="auto"/>
        <w:ind w:left="284" w:right="326"/>
        <w:mirrorIndents/>
        <w:jc w:val="both"/>
        <w:rPr>
          <w:color w:val="252525"/>
        </w:rPr>
      </w:pPr>
      <w:r w:rsidRPr="00D167A0">
        <w:rPr>
          <w:color w:val="252525"/>
        </w:rPr>
        <w:t>γ) μελέτη στατικής επάρκειας, που αποδεικνύει τη στατική επάρκεια του κτιρίου μετά τις προβλεπόμενες διαμορφώσεις. Αν από την μελέτη στατικής επάρκειας προκύψει ότι απαιτούνται στατικές ενισχύσεις, αυτές πραγματοποιούνται μονομερώς με δαπάνη του ενδιαφερομένου, με την προϋπόθεση ότι οι επεμβάσεις αυτές περιορίζονται εντός του χώρου που έχει την υποχρέωση διαμορφώσεων.</w:t>
      </w:r>
    </w:p>
    <w:p w14:paraId="66E84178" w14:textId="77777777" w:rsidR="00962409" w:rsidRDefault="00962409" w:rsidP="00D167A0">
      <w:pPr>
        <w:pStyle w:val="Web"/>
        <w:shd w:val="clear" w:color="auto" w:fill="FFFFFF" w:themeFill="background1"/>
        <w:spacing w:after="120" w:line="288" w:lineRule="auto"/>
        <w:ind w:left="284" w:right="326"/>
        <w:mirrorIndents/>
        <w:jc w:val="both"/>
        <w:rPr>
          <w:b/>
          <w:bCs/>
        </w:rPr>
      </w:pPr>
    </w:p>
    <w:p w14:paraId="4D54049C" w14:textId="6CE9F852" w:rsidR="00D167A0" w:rsidRPr="00D167A0" w:rsidRDefault="00D167A0" w:rsidP="00D167A0">
      <w:pPr>
        <w:pStyle w:val="Web"/>
        <w:shd w:val="clear" w:color="auto" w:fill="FFFFFF" w:themeFill="background1"/>
        <w:spacing w:after="120" w:line="288" w:lineRule="auto"/>
        <w:ind w:left="284" w:right="326"/>
        <w:mirrorIndents/>
        <w:jc w:val="both"/>
        <w:rPr>
          <w:bCs/>
        </w:rPr>
      </w:pPr>
      <w:r w:rsidRPr="00D167A0">
        <w:rPr>
          <w:b/>
          <w:bCs/>
        </w:rPr>
        <w:t>Εξαιρέσεις</w:t>
      </w:r>
      <w:r w:rsidRPr="00D167A0">
        <w:rPr>
          <w:bCs/>
        </w:rPr>
        <w:t xml:space="preserve">: </w:t>
      </w:r>
    </w:p>
    <w:p w14:paraId="2B41BABA" w14:textId="77249725" w:rsidR="00D167A0" w:rsidRPr="00D167A0" w:rsidRDefault="00D167A0" w:rsidP="00CB218B">
      <w:pPr>
        <w:pStyle w:val="Web"/>
        <w:numPr>
          <w:ilvl w:val="0"/>
          <w:numId w:val="18"/>
        </w:numPr>
        <w:shd w:val="clear" w:color="auto" w:fill="FFFFFF" w:themeFill="background1"/>
        <w:tabs>
          <w:tab w:val="left" w:pos="284"/>
        </w:tabs>
        <w:spacing w:after="120" w:line="288" w:lineRule="auto"/>
        <w:ind w:left="284" w:right="326" w:firstLine="0"/>
        <w:mirrorIndents/>
        <w:jc w:val="both"/>
        <w:rPr>
          <w:bCs/>
        </w:rPr>
      </w:pPr>
      <w:r w:rsidRPr="00D167A0">
        <w:rPr>
          <w:bCs/>
        </w:rPr>
        <w:t xml:space="preserve">Από την παραπάνω υποχρέωση διαμορφώσεων για τη διασφάλιση φυσικής πρόσβασης χρήστη αναπηρικού </w:t>
      </w:r>
      <w:proofErr w:type="spellStart"/>
      <w:r w:rsidRPr="00D167A0">
        <w:rPr>
          <w:bCs/>
        </w:rPr>
        <w:t>αμαξιδίου</w:t>
      </w:r>
      <w:proofErr w:type="spellEnd"/>
      <w:r w:rsidRPr="00D167A0">
        <w:rPr>
          <w:bCs/>
        </w:rPr>
        <w:t xml:space="preserve"> σε υφιστάμενα κτίρια του Δημοσίου και λοιπών κτιρίων με χρήσεις που αναφέρονται πιο πάνω εκτός από κατοικία εξαιρούνται:</w:t>
      </w:r>
    </w:p>
    <w:p w14:paraId="13A5342F" w14:textId="77777777" w:rsidR="00D167A0" w:rsidRPr="00D167A0" w:rsidRDefault="00D167A0" w:rsidP="00D167A0">
      <w:pPr>
        <w:pStyle w:val="Web"/>
        <w:shd w:val="clear" w:color="auto" w:fill="FFFFFF" w:themeFill="background1"/>
        <w:spacing w:after="120" w:line="288" w:lineRule="auto"/>
        <w:ind w:left="284" w:right="326"/>
        <w:mirrorIndents/>
        <w:jc w:val="both"/>
        <w:rPr>
          <w:color w:val="252525"/>
        </w:rPr>
      </w:pPr>
      <w:r w:rsidRPr="00D167A0">
        <w:rPr>
          <w:color w:val="252525"/>
        </w:rPr>
        <w:t>α) τα κτίρια που έχουν μοναδική πρόσβαση σε δρόμο με βαθμίδες ή βρίσκονται σε οικόπεδα στα οποία η ελάχιστη διαφορά στάθμης του φυσικού εδάφους στην οικοδομική γραμμή από την επιφάνεια του πεζοδρομίου είναι μεγαλύτερη από 2,50 μ., ή το πεζοδρόμιο έμπροσθεν αυτών έχει πλάτος μικρότερο του 0,70 μ. (μη συμπεριλαμβανομένου του κρασπέδου), μέχρι να διαμορφωθεί ο εξωτερικός κοινόχρηστος χώρος κίνησης πεζών,</w:t>
      </w:r>
    </w:p>
    <w:p w14:paraId="43CFB4E8" w14:textId="77777777" w:rsidR="00D167A0" w:rsidRPr="00D167A0" w:rsidRDefault="00D167A0" w:rsidP="00D167A0">
      <w:pPr>
        <w:pStyle w:val="Web"/>
        <w:shd w:val="clear" w:color="auto" w:fill="FFFFFF" w:themeFill="background1"/>
        <w:spacing w:after="120" w:line="288" w:lineRule="auto"/>
        <w:ind w:left="284" w:right="326"/>
        <w:mirrorIndents/>
        <w:jc w:val="both"/>
        <w:rPr>
          <w:color w:val="252525"/>
        </w:rPr>
      </w:pPr>
      <w:r w:rsidRPr="00D167A0">
        <w:rPr>
          <w:color w:val="252525"/>
        </w:rPr>
        <w:t>β) τα κτίρια, των οποίων η προσαρμογή δεν είναι δυνατή χωρίς να θίγονται οι δοκοί και οι στύλοι τους ή απαιτείται να πραγματοποιηθούν άλλες σοβαρές παρεμβάσεις στον φέροντα οργανισμό τους, οι οποίες δύνανται να επηρεάσουν τη στατική επάρκειά του, όπως τεκμηριώνεται με Τεχνική Έκθεση Μηχανικού, κατόπιν απόφασης της Περιφερειακής Επιτροπής Προσβασιμότητας του άρθρου 18 του ν. 4495/2017,</w:t>
      </w:r>
    </w:p>
    <w:p w14:paraId="125C0D36" w14:textId="51C75EA0" w:rsidR="00D167A0" w:rsidRDefault="00D167A0" w:rsidP="00D167A0">
      <w:pPr>
        <w:pStyle w:val="Web"/>
        <w:shd w:val="clear" w:color="auto" w:fill="FFFFFF" w:themeFill="background1"/>
        <w:spacing w:after="120" w:line="288" w:lineRule="auto"/>
        <w:ind w:left="284" w:right="326"/>
        <w:mirrorIndents/>
        <w:jc w:val="both"/>
        <w:rPr>
          <w:color w:val="252525"/>
        </w:rPr>
      </w:pPr>
      <w:r w:rsidRPr="00D167A0">
        <w:rPr>
          <w:color w:val="252525"/>
        </w:rPr>
        <w:t>γ) τα κτίρια των οποίων η προσαρμογή θα προκαλούσε </w:t>
      </w:r>
      <w:r w:rsidRPr="00D167A0">
        <w:rPr>
          <w:rStyle w:val="a8"/>
          <w:rFonts w:eastAsiaTheme="majorEastAsia"/>
          <w:color w:val="252525"/>
        </w:rPr>
        <w:t>δυσανάλογη οικονομική επιβάρυνση για τον υπόχρεο ή τους υπόχρεους</w:t>
      </w:r>
      <w:r w:rsidRPr="00D167A0">
        <w:rPr>
          <w:color w:val="252525"/>
        </w:rPr>
        <w:t xml:space="preserve"> -εξαιρουμένων αυτών που στεγάζονται υπηρεσίες του Δημοσίου, νομικά πρόσωπα δημοσίου δικαίου, νομικά πρόσωπα ιδιωτικού δικαίου του ευρύτερου δημόσιου τομέα, κοινωφελείς </w:t>
      </w:r>
      <w:r w:rsidRPr="00D167A0">
        <w:rPr>
          <w:color w:val="252525"/>
        </w:rPr>
        <w:lastRenderedPageBreak/>
        <w:t xml:space="preserve">οργανισμοί, οργανισμοί τοπικής αυτοδιοίκησης πρώτης και δεύτερης βαθμίδας κατόπιν απόφασης της Περιφερειακής Επιτροπής Προσβασιμότητας του άρθρου 18 του ν. 4495/2017. Με την ίδια απόφαση η Περιφερειακή Επιτροπή Προσβασιμότητας δύναται να επιβάλλει εφαρμογή μέτρων εναλλακτικής εξυπηρέτησης των ατόμων με αναπηρία ή εμποδιζόμενων ατόμων. Η προσωρινή εξαίρεση έχει διάρκεια 3 έτη. Μετά τη λήξη της διάρκειας ισχύος της εξαίρεσης δύναται να </w:t>
      </w:r>
      <w:proofErr w:type="spellStart"/>
      <w:r w:rsidRPr="00D167A0">
        <w:rPr>
          <w:color w:val="252525"/>
        </w:rPr>
        <w:t>επανυποβάλλεται</w:t>
      </w:r>
      <w:proofErr w:type="spellEnd"/>
      <w:r w:rsidRPr="00D167A0">
        <w:rPr>
          <w:color w:val="252525"/>
        </w:rPr>
        <w:t xml:space="preserve"> σχετικό αίτημα. Με απόφαση του Υπουργού Περιβάλλοντος και Ενέργειας καθορίζονται τα κριτήρια της «δυσανάλογης επιβάρυνσης». </w:t>
      </w:r>
    </w:p>
    <w:p w14:paraId="68860773" w14:textId="77777777" w:rsidR="00962409" w:rsidRPr="00D167A0" w:rsidRDefault="00962409" w:rsidP="00D167A0">
      <w:pPr>
        <w:pStyle w:val="Web"/>
        <w:shd w:val="clear" w:color="auto" w:fill="FFFFFF" w:themeFill="background1"/>
        <w:spacing w:after="120" w:line="288" w:lineRule="auto"/>
        <w:ind w:left="284" w:right="326"/>
        <w:mirrorIndents/>
        <w:jc w:val="both"/>
        <w:rPr>
          <w:rStyle w:val="a8"/>
          <w:rFonts w:eastAsiaTheme="majorEastAsia"/>
          <w:color w:val="252525"/>
        </w:rPr>
      </w:pPr>
    </w:p>
    <w:p w14:paraId="70739DCA" w14:textId="77777777" w:rsidR="00D167A0" w:rsidRPr="00D167A0" w:rsidRDefault="00D167A0" w:rsidP="00CB218B">
      <w:pPr>
        <w:pStyle w:val="Web"/>
        <w:numPr>
          <w:ilvl w:val="0"/>
          <w:numId w:val="18"/>
        </w:numPr>
        <w:shd w:val="clear" w:color="auto" w:fill="FFFFFF" w:themeFill="background1"/>
        <w:tabs>
          <w:tab w:val="left" w:pos="284"/>
        </w:tabs>
        <w:spacing w:after="120" w:line="288" w:lineRule="auto"/>
        <w:ind w:left="284" w:right="326" w:firstLine="0"/>
        <w:mirrorIndents/>
        <w:jc w:val="both"/>
        <w:rPr>
          <w:b/>
          <w:color w:val="252525"/>
        </w:rPr>
      </w:pPr>
      <w:r w:rsidRPr="00D167A0">
        <w:rPr>
          <w:rStyle w:val="a8"/>
          <w:rFonts w:eastAsiaTheme="majorEastAsia"/>
          <w:color w:val="252525"/>
        </w:rPr>
        <w:t>Για την υποχρέωση διαμόρφωση πρόσβασης στους πάνω από το ισόγειο ορόφους ή τους εσωτερικούς εξώστες ή αναβαθμούς των παραπάνω υφιστάμενων κτιρίων εξαιρούνται οι περιπτώσεις ακινήτων των οποίων:</w:t>
      </w:r>
    </w:p>
    <w:p w14:paraId="1E795209" w14:textId="77777777" w:rsidR="00D167A0" w:rsidRPr="00D167A0" w:rsidRDefault="00D167A0" w:rsidP="00D167A0">
      <w:pPr>
        <w:pStyle w:val="Web"/>
        <w:shd w:val="clear" w:color="auto" w:fill="FFFFFF" w:themeFill="background1"/>
        <w:spacing w:after="120" w:line="288" w:lineRule="auto"/>
        <w:ind w:left="284" w:right="326"/>
        <w:mirrorIndents/>
        <w:jc w:val="both"/>
        <w:rPr>
          <w:color w:val="252525"/>
        </w:rPr>
      </w:pPr>
      <w:r w:rsidRPr="00D167A0">
        <w:rPr>
          <w:color w:val="252525"/>
        </w:rPr>
        <w:t>α) το εμβαδόν των εσωτερικών εξωστών ή αναβαθμών αποτελεί ποσοστό μέχρι 50% του εμβαδού της κυρίως αίθουσας και όχι περισσότερο των εκατό (100) τ.μ. και η χρήση του είναι ίδια με αυτή της κυρίως αίθουσας ή οι εσωτερικοί εξώστες ή αναβαθμοί έχουν βοηθητική χρήση,</w:t>
      </w:r>
    </w:p>
    <w:p w14:paraId="2F4CDC4B" w14:textId="77777777" w:rsidR="00D167A0" w:rsidRPr="00D167A0" w:rsidRDefault="00D167A0" w:rsidP="00D167A0">
      <w:pPr>
        <w:pStyle w:val="Web"/>
        <w:shd w:val="clear" w:color="auto" w:fill="FFFFFF" w:themeFill="background1"/>
        <w:spacing w:after="120" w:line="288" w:lineRule="auto"/>
        <w:ind w:left="284" w:right="326"/>
        <w:mirrorIndents/>
        <w:jc w:val="both"/>
        <w:rPr>
          <w:color w:val="252525"/>
        </w:rPr>
      </w:pPr>
      <w:r w:rsidRPr="00D167A0">
        <w:rPr>
          <w:color w:val="252525"/>
        </w:rPr>
        <w:t>β) το συνολικό μικτό εμβαδόν των πάνω από το ισόγειο ορόφων είναι μικρότερο των διακοσίων (200) τ.μ. και</w:t>
      </w:r>
    </w:p>
    <w:p w14:paraId="32ABE57D" w14:textId="78D8B31F" w:rsidR="00D167A0" w:rsidRDefault="00D167A0" w:rsidP="00D167A0">
      <w:pPr>
        <w:pStyle w:val="Web"/>
        <w:shd w:val="clear" w:color="auto" w:fill="FFFFFF" w:themeFill="background1"/>
        <w:spacing w:after="120" w:line="288" w:lineRule="auto"/>
        <w:ind w:left="284" w:right="326"/>
        <w:mirrorIndents/>
        <w:jc w:val="both"/>
        <w:rPr>
          <w:color w:val="252525"/>
        </w:rPr>
      </w:pPr>
      <w:r w:rsidRPr="00D167A0">
        <w:rPr>
          <w:color w:val="252525"/>
        </w:rPr>
        <w:t>γ) το μικτό εμβαδόν κάθε ορόφου είναι μικρότερο των εβδομήντα (70) τ.μ.</w:t>
      </w:r>
    </w:p>
    <w:p w14:paraId="2C5C9F21" w14:textId="77777777" w:rsidR="00962409" w:rsidRPr="00D167A0" w:rsidRDefault="00962409" w:rsidP="00D167A0">
      <w:pPr>
        <w:pStyle w:val="Web"/>
        <w:shd w:val="clear" w:color="auto" w:fill="FFFFFF" w:themeFill="background1"/>
        <w:spacing w:after="120" w:line="288" w:lineRule="auto"/>
        <w:ind w:left="284" w:right="326"/>
        <w:mirrorIndents/>
        <w:jc w:val="both"/>
        <w:rPr>
          <w:color w:val="252525"/>
        </w:rPr>
      </w:pPr>
    </w:p>
    <w:p w14:paraId="078FC7C0" w14:textId="77777777" w:rsidR="00D167A0" w:rsidRPr="00D167A0" w:rsidRDefault="00D167A0" w:rsidP="00CB218B">
      <w:pPr>
        <w:pStyle w:val="Web"/>
        <w:numPr>
          <w:ilvl w:val="0"/>
          <w:numId w:val="18"/>
        </w:numPr>
        <w:shd w:val="clear" w:color="auto" w:fill="FFFFFF" w:themeFill="background1"/>
        <w:tabs>
          <w:tab w:val="left" w:pos="284"/>
        </w:tabs>
        <w:spacing w:after="120" w:line="288" w:lineRule="auto"/>
        <w:ind w:left="284" w:right="326" w:firstLine="0"/>
        <w:mirrorIndents/>
        <w:jc w:val="both"/>
        <w:rPr>
          <w:b/>
          <w:color w:val="252525"/>
        </w:rPr>
      </w:pPr>
      <w:r w:rsidRPr="00D167A0">
        <w:rPr>
          <w:b/>
          <w:color w:val="252525"/>
        </w:rPr>
        <w:t>Οι εξαιρέσεις που αναφέρονται στις περιπτώσεις β και γ δεν ισχύουν, αν η χρήση του κτιρίου είναι η μοναδική στον οικισμό και ταυτόχρονα στους πάνω από το ισόγειο ορόφους υπάρχουν χρήσεις για εξυπηρέτηση κοινού διαφορετικές από αυτές που υπάρχουν στον ισόγειο όροφο.</w:t>
      </w:r>
    </w:p>
    <w:p w14:paraId="68C210A3" w14:textId="77777777" w:rsidR="00962409" w:rsidRDefault="00962409" w:rsidP="00D167A0">
      <w:pPr>
        <w:pStyle w:val="Web"/>
        <w:shd w:val="clear" w:color="auto" w:fill="FFFFFF" w:themeFill="background1"/>
        <w:spacing w:after="120" w:line="288" w:lineRule="auto"/>
        <w:ind w:left="284" w:right="326"/>
        <w:mirrorIndents/>
        <w:jc w:val="both"/>
        <w:rPr>
          <w:b/>
          <w:color w:val="252525"/>
        </w:rPr>
      </w:pPr>
    </w:p>
    <w:p w14:paraId="31EED456" w14:textId="0197CBDF" w:rsidR="00D167A0" w:rsidRPr="00D167A0" w:rsidRDefault="00D167A0" w:rsidP="00D167A0">
      <w:pPr>
        <w:pStyle w:val="Web"/>
        <w:shd w:val="clear" w:color="auto" w:fill="FFFFFF" w:themeFill="background1"/>
        <w:spacing w:after="120" w:line="288" w:lineRule="auto"/>
        <w:ind w:left="284" w:right="326"/>
        <w:mirrorIndents/>
        <w:jc w:val="both"/>
        <w:rPr>
          <w:color w:val="252525"/>
        </w:rPr>
      </w:pPr>
      <w:r w:rsidRPr="00D167A0">
        <w:rPr>
          <w:b/>
          <w:color w:val="252525"/>
        </w:rPr>
        <w:t>Οι Τεχνικές Προδιαγραφές Μελέτης Προσβασιμότητας των κτιρίων και των υπαίθριων κοινόχρηστων χώρων για την εξυπηρέτηση ατόμων με αναπηρία ή εμποδιζόμενων ατόμων</w:t>
      </w:r>
      <w:r w:rsidRPr="00D167A0">
        <w:rPr>
          <w:color w:val="252525"/>
        </w:rPr>
        <w:t xml:space="preserve"> προβλέπονται στη σχετική απόφαση του Υφυπουργού Περιβάλλοντος και Ενέργειας, αρμόδιου για θέματα Χωροταξίας και Αστικού Περιβάλλοντος </w:t>
      </w:r>
      <w:r w:rsidR="00962409">
        <w:rPr>
          <w:color w:val="252525"/>
        </w:rPr>
        <w:t>τους</w:t>
      </w:r>
      <w:r w:rsidRPr="00D167A0">
        <w:rPr>
          <w:color w:val="252525"/>
        </w:rPr>
        <w:t xml:space="preserve"> δημοσιεύτηκε στην Εφημερίδα </w:t>
      </w:r>
      <w:r w:rsidR="00962409">
        <w:rPr>
          <w:color w:val="252525"/>
        </w:rPr>
        <w:t>τους</w:t>
      </w:r>
      <w:r w:rsidRPr="00D167A0">
        <w:rPr>
          <w:color w:val="252525"/>
        </w:rPr>
        <w:t xml:space="preserve"> Κυβέρνησης (5045Β/2021). Συνοπτικά στην εν λόγω υπουργική απόφαση διευκρινίζονται τα ακόλουθα:</w:t>
      </w:r>
    </w:p>
    <w:p w14:paraId="3254BAF0" w14:textId="22F530DE" w:rsidR="00D167A0" w:rsidRPr="00D167A0" w:rsidRDefault="00D167A0" w:rsidP="00D167A0">
      <w:pPr>
        <w:shd w:val="clear" w:color="auto" w:fill="FFFFFF"/>
        <w:spacing w:after="120" w:line="288" w:lineRule="auto"/>
        <w:ind w:left="284" w:right="326"/>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Η </w:t>
      </w:r>
      <w:r w:rsidRPr="00D167A0">
        <w:rPr>
          <w:rFonts w:ascii="Times New Roman" w:eastAsia="Times New Roman" w:hAnsi="Times New Roman" w:cs="Times New Roman"/>
          <w:b/>
          <w:bCs/>
          <w:color w:val="333333"/>
          <w:sz w:val="24"/>
          <w:szCs w:val="24"/>
          <w:lang w:eastAsia="el-GR"/>
        </w:rPr>
        <w:t>«Προσβασιμότητα»</w:t>
      </w:r>
      <w:r w:rsidRPr="00D167A0">
        <w:rPr>
          <w:rFonts w:ascii="Times New Roman" w:eastAsia="Times New Roman" w:hAnsi="Times New Roman" w:cs="Times New Roman"/>
          <w:color w:val="333333"/>
          <w:sz w:val="24"/>
          <w:szCs w:val="24"/>
          <w:lang w:eastAsia="el-GR"/>
        </w:rPr>
        <w:t> </w:t>
      </w:r>
      <w:r w:rsidRPr="00D167A0">
        <w:rPr>
          <w:rFonts w:ascii="Times New Roman" w:eastAsia="Times New Roman" w:hAnsi="Times New Roman" w:cs="Times New Roman"/>
          <w:b/>
          <w:bCs/>
          <w:color w:val="333333"/>
          <w:sz w:val="24"/>
          <w:szCs w:val="24"/>
          <w:lang w:eastAsia="el-GR"/>
        </w:rPr>
        <w:t>ορίζεται ως το χαρακτηριστικό του περιβάλλοντος, που επιτρέπει σε όλα τα άτομα </w:t>
      </w:r>
      <w:r w:rsidRPr="00D167A0">
        <w:rPr>
          <w:rFonts w:ascii="Times New Roman" w:eastAsia="Times New Roman" w:hAnsi="Times New Roman" w:cs="Times New Roman"/>
          <w:color w:val="333333"/>
          <w:sz w:val="24"/>
          <w:szCs w:val="24"/>
          <w:lang w:eastAsia="el-GR"/>
        </w:rPr>
        <w:t xml:space="preserve">–χωρίς διακρίσεις φύλου, ηλικίας και λοιπών χαρακτηριστικών, </w:t>
      </w:r>
      <w:r w:rsidR="00962409">
        <w:rPr>
          <w:rFonts w:ascii="Times New Roman" w:eastAsia="Times New Roman" w:hAnsi="Times New Roman" w:cs="Times New Roman"/>
          <w:color w:val="333333"/>
          <w:sz w:val="24"/>
          <w:szCs w:val="24"/>
          <w:lang w:eastAsia="el-GR"/>
        </w:rPr>
        <w:t>τους</w:t>
      </w:r>
      <w:r w:rsidRPr="00D167A0">
        <w:rPr>
          <w:rFonts w:ascii="Times New Roman" w:eastAsia="Times New Roman" w:hAnsi="Times New Roman" w:cs="Times New Roman"/>
          <w:color w:val="333333"/>
          <w:sz w:val="24"/>
          <w:szCs w:val="24"/>
          <w:lang w:eastAsia="el-GR"/>
        </w:rPr>
        <w:t xml:space="preserve"> σωματική διάπλαση, δύναμη, αντίληψη, εθνικότητα– </w:t>
      </w:r>
      <w:r w:rsidRPr="00D167A0">
        <w:rPr>
          <w:rFonts w:ascii="Times New Roman" w:eastAsia="Times New Roman" w:hAnsi="Times New Roman" w:cs="Times New Roman"/>
          <w:b/>
          <w:bCs/>
          <w:color w:val="333333"/>
          <w:sz w:val="24"/>
          <w:szCs w:val="24"/>
          <w:lang w:eastAsia="el-GR"/>
        </w:rPr>
        <w:t>να έχουν πρόσβαση σε αυτό</w:t>
      </w:r>
      <w:r w:rsidRPr="00D167A0">
        <w:rPr>
          <w:rFonts w:ascii="Times New Roman" w:eastAsia="Times New Roman" w:hAnsi="Times New Roman" w:cs="Times New Roman"/>
          <w:color w:val="333333"/>
          <w:sz w:val="24"/>
          <w:szCs w:val="24"/>
          <w:lang w:eastAsia="el-GR"/>
        </w:rPr>
        <w:t>, δηλαδή να μπορούν </w:t>
      </w:r>
      <w:r w:rsidRPr="00D167A0">
        <w:rPr>
          <w:rFonts w:ascii="Times New Roman" w:eastAsia="Times New Roman" w:hAnsi="Times New Roman" w:cs="Times New Roman"/>
          <w:b/>
          <w:bCs/>
          <w:color w:val="333333"/>
          <w:sz w:val="24"/>
          <w:szCs w:val="24"/>
          <w:lang w:eastAsia="el-GR"/>
        </w:rPr>
        <w:t xml:space="preserve">αυτόνομα, με ασφάλεια και με </w:t>
      </w:r>
      <w:r w:rsidRPr="00D167A0">
        <w:rPr>
          <w:rFonts w:ascii="Times New Roman" w:eastAsia="Times New Roman" w:hAnsi="Times New Roman" w:cs="Times New Roman"/>
          <w:b/>
          <w:bCs/>
          <w:color w:val="333333"/>
          <w:sz w:val="24"/>
          <w:szCs w:val="24"/>
          <w:lang w:eastAsia="el-GR"/>
        </w:rPr>
        <w:lastRenderedPageBreak/>
        <w:t xml:space="preserve">άνεση να προσεγγίσουν και να χρησιμοποιήσουν </w:t>
      </w:r>
      <w:r w:rsidR="00962409">
        <w:rPr>
          <w:rFonts w:ascii="Times New Roman" w:eastAsia="Times New Roman" w:hAnsi="Times New Roman" w:cs="Times New Roman"/>
          <w:b/>
          <w:bCs/>
          <w:color w:val="333333"/>
          <w:sz w:val="24"/>
          <w:szCs w:val="24"/>
          <w:lang w:eastAsia="el-GR"/>
        </w:rPr>
        <w:t>τους</w:t>
      </w:r>
      <w:r w:rsidRPr="00D167A0">
        <w:rPr>
          <w:rFonts w:ascii="Times New Roman" w:eastAsia="Times New Roman" w:hAnsi="Times New Roman" w:cs="Times New Roman"/>
          <w:b/>
          <w:bCs/>
          <w:color w:val="333333"/>
          <w:sz w:val="24"/>
          <w:szCs w:val="24"/>
          <w:lang w:eastAsia="el-GR"/>
        </w:rPr>
        <w:t xml:space="preserve"> υποδομές</w:t>
      </w:r>
      <w:r w:rsidRPr="00D167A0">
        <w:rPr>
          <w:rFonts w:ascii="Times New Roman" w:eastAsia="Times New Roman" w:hAnsi="Times New Roman" w:cs="Times New Roman"/>
          <w:color w:val="333333"/>
          <w:sz w:val="24"/>
          <w:szCs w:val="24"/>
          <w:lang w:eastAsia="el-GR"/>
        </w:rPr>
        <w:t>, αλλά </w:t>
      </w:r>
      <w:r w:rsidRPr="00D167A0">
        <w:rPr>
          <w:rFonts w:ascii="Times New Roman" w:eastAsia="Times New Roman" w:hAnsi="Times New Roman" w:cs="Times New Roman"/>
          <w:b/>
          <w:bCs/>
          <w:color w:val="333333"/>
          <w:sz w:val="24"/>
          <w:szCs w:val="24"/>
          <w:lang w:eastAsia="el-GR"/>
        </w:rPr>
        <w:t xml:space="preserve">και </w:t>
      </w:r>
      <w:r w:rsidR="00962409">
        <w:rPr>
          <w:rFonts w:ascii="Times New Roman" w:eastAsia="Times New Roman" w:hAnsi="Times New Roman" w:cs="Times New Roman"/>
          <w:b/>
          <w:bCs/>
          <w:color w:val="333333"/>
          <w:sz w:val="24"/>
          <w:szCs w:val="24"/>
          <w:lang w:eastAsia="el-GR"/>
        </w:rPr>
        <w:t>τους</w:t>
      </w:r>
      <w:r w:rsidRPr="00D167A0">
        <w:rPr>
          <w:rFonts w:ascii="Times New Roman" w:eastAsia="Times New Roman" w:hAnsi="Times New Roman" w:cs="Times New Roman"/>
          <w:b/>
          <w:bCs/>
          <w:color w:val="333333"/>
          <w:sz w:val="24"/>
          <w:szCs w:val="24"/>
          <w:lang w:eastAsia="el-GR"/>
        </w:rPr>
        <w:t xml:space="preserve"> υπηρεσίες</w:t>
      </w:r>
      <w:r w:rsidRPr="00D167A0">
        <w:rPr>
          <w:rFonts w:ascii="Times New Roman" w:eastAsia="Times New Roman" w:hAnsi="Times New Roman" w:cs="Times New Roman"/>
          <w:color w:val="333333"/>
          <w:sz w:val="24"/>
          <w:szCs w:val="24"/>
          <w:lang w:eastAsia="el-GR"/>
        </w:rPr>
        <w:t> (συμβατικές και ηλεκτρονικές) </w:t>
      </w:r>
      <w:r w:rsidRPr="00D167A0">
        <w:rPr>
          <w:rFonts w:ascii="Times New Roman" w:eastAsia="Times New Roman" w:hAnsi="Times New Roman" w:cs="Times New Roman"/>
          <w:b/>
          <w:bCs/>
          <w:color w:val="333333"/>
          <w:sz w:val="24"/>
          <w:szCs w:val="24"/>
          <w:lang w:eastAsia="el-GR"/>
        </w:rPr>
        <w:t>και τα αγαθά</w:t>
      </w:r>
      <w:r w:rsidRPr="00D167A0">
        <w:rPr>
          <w:rFonts w:ascii="Times New Roman" w:eastAsia="Times New Roman" w:hAnsi="Times New Roman" w:cs="Times New Roman"/>
          <w:color w:val="333333"/>
          <w:sz w:val="24"/>
          <w:szCs w:val="24"/>
          <w:lang w:eastAsia="el-GR"/>
        </w:rPr>
        <w:t xml:space="preserve"> που διατίθενται στο συγκεκριμένο περιβάλλον. Η προσβασιμότητα στο δομημένο περιβάλλον </w:t>
      </w:r>
      <w:r w:rsidRPr="00D167A0">
        <w:rPr>
          <w:rFonts w:ascii="Times New Roman" w:eastAsia="Times New Roman" w:hAnsi="Times New Roman" w:cs="Times New Roman"/>
          <w:color w:val="252525"/>
          <w:sz w:val="24"/>
          <w:szCs w:val="24"/>
          <w:lang w:eastAsia="el-GR"/>
        </w:rPr>
        <w:t xml:space="preserve">εξασφαλίζεται μέσω του </w:t>
      </w:r>
      <w:proofErr w:type="spellStart"/>
      <w:r w:rsidRPr="00D167A0">
        <w:rPr>
          <w:rFonts w:ascii="Times New Roman" w:eastAsia="Times New Roman" w:hAnsi="Times New Roman" w:cs="Times New Roman"/>
          <w:color w:val="252525"/>
          <w:sz w:val="24"/>
          <w:szCs w:val="24"/>
          <w:lang w:eastAsia="el-GR"/>
        </w:rPr>
        <w:t>προσβάσιμου</w:t>
      </w:r>
      <w:proofErr w:type="spellEnd"/>
      <w:r w:rsidRPr="00D167A0">
        <w:rPr>
          <w:rFonts w:ascii="Times New Roman" w:eastAsia="Times New Roman" w:hAnsi="Times New Roman" w:cs="Times New Roman"/>
          <w:color w:val="252525"/>
          <w:sz w:val="24"/>
          <w:szCs w:val="24"/>
          <w:lang w:eastAsia="el-GR"/>
        </w:rPr>
        <w:t xml:space="preserve"> σχεδιασμού, δηλαδή μια διαδικασία σχεδιασμού κατά την οποία οι ανάγκες των ατόμων με αναπηρίες εξετάζονται ειδικά, με στόχο τα προϊόντα, </w:t>
      </w:r>
      <w:r w:rsidR="00962409">
        <w:rPr>
          <w:rFonts w:ascii="Times New Roman" w:eastAsia="Times New Roman" w:hAnsi="Times New Roman" w:cs="Times New Roman"/>
          <w:color w:val="252525"/>
          <w:sz w:val="24"/>
          <w:szCs w:val="24"/>
          <w:lang w:eastAsia="el-GR"/>
        </w:rPr>
        <w:t>τους</w:t>
      </w:r>
      <w:r w:rsidRPr="00D167A0">
        <w:rPr>
          <w:rFonts w:ascii="Times New Roman" w:eastAsia="Times New Roman" w:hAnsi="Times New Roman" w:cs="Times New Roman"/>
          <w:color w:val="252525"/>
          <w:sz w:val="24"/>
          <w:szCs w:val="24"/>
          <w:lang w:eastAsia="el-GR"/>
        </w:rPr>
        <w:t xml:space="preserve"> υπηρεσίες και </w:t>
      </w:r>
      <w:r w:rsidR="00962409">
        <w:rPr>
          <w:rFonts w:ascii="Times New Roman" w:eastAsia="Times New Roman" w:hAnsi="Times New Roman" w:cs="Times New Roman"/>
          <w:color w:val="252525"/>
          <w:sz w:val="24"/>
          <w:szCs w:val="24"/>
          <w:lang w:eastAsia="el-GR"/>
        </w:rPr>
        <w:t>τους</w:t>
      </w:r>
      <w:r w:rsidRPr="00D167A0">
        <w:rPr>
          <w:rFonts w:ascii="Times New Roman" w:eastAsia="Times New Roman" w:hAnsi="Times New Roman" w:cs="Times New Roman"/>
          <w:color w:val="252525"/>
          <w:sz w:val="24"/>
          <w:szCs w:val="24"/>
          <w:lang w:eastAsia="el-GR"/>
        </w:rPr>
        <w:t xml:space="preserve"> υποδομές ώστε να μπορούν να χρησιμοποιηθούν, κατά το δυνατόν</w:t>
      </w:r>
      <w:r w:rsidRPr="00D167A0">
        <w:rPr>
          <w:rFonts w:ascii="Times New Roman" w:eastAsia="Times New Roman" w:hAnsi="Times New Roman" w:cs="Times New Roman"/>
          <w:color w:val="333333"/>
          <w:sz w:val="24"/>
          <w:szCs w:val="24"/>
          <w:lang w:eastAsia="el-GR"/>
        </w:rPr>
        <w:t>, αυτόνομα από άτομα με διάφορες αναπηρίες.</w:t>
      </w:r>
    </w:p>
    <w:p w14:paraId="77945EE7" w14:textId="343068FD" w:rsidR="00D167A0" w:rsidRPr="00D167A0" w:rsidRDefault="00962409" w:rsidP="00D167A0">
      <w:pPr>
        <w:shd w:val="clear" w:color="auto" w:fill="FFFFFF"/>
        <w:spacing w:after="120" w:line="288" w:lineRule="auto"/>
        <w:ind w:left="284" w:right="326"/>
        <w:mirrorIndents/>
        <w:jc w:val="both"/>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Τους</w:t>
      </w:r>
      <w:r w:rsidR="00D167A0" w:rsidRPr="00D167A0">
        <w:rPr>
          <w:rFonts w:ascii="Times New Roman" w:eastAsia="Times New Roman" w:hAnsi="Times New Roman" w:cs="Times New Roman"/>
          <w:color w:val="333333"/>
          <w:sz w:val="24"/>
          <w:szCs w:val="24"/>
          <w:lang w:eastAsia="el-GR"/>
        </w:rPr>
        <w:t xml:space="preserve"> αυτή την κατεύθυνση συμβάλλει ο </w:t>
      </w:r>
      <w:r w:rsidR="00D167A0" w:rsidRPr="00D167A0">
        <w:rPr>
          <w:rFonts w:ascii="Times New Roman" w:eastAsia="Times New Roman" w:hAnsi="Times New Roman" w:cs="Times New Roman"/>
          <w:b/>
          <w:bCs/>
          <w:color w:val="333333"/>
          <w:sz w:val="24"/>
          <w:szCs w:val="24"/>
          <w:lang w:eastAsia="el-GR"/>
        </w:rPr>
        <w:t>«Καθολικός Σχεδιασμός»</w:t>
      </w:r>
      <w:r w:rsidR="00D167A0" w:rsidRPr="00D167A0">
        <w:rPr>
          <w:rFonts w:ascii="Times New Roman" w:eastAsia="Times New Roman" w:hAnsi="Times New Roman" w:cs="Times New Roman"/>
          <w:color w:val="333333"/>
          <w:sz w:val="24"/>
          <w:szCs w:val="24"/>
          <w:lang w:eastAsia="el-GR"/>
        </w:rPr>
        <w:t xml:space="preserve"> που αποτελεί το σχεδιασμό προϊόντων, περιβαλλόντων, προγραμμάτων και υπηρεσιών που θα μπορούν να χρησιμοποιούνται από όλους </w:t>
      </w:r>
      <w:r>
        <w:rPr>
          <w:rFonts w:ascii="Times New Roman" w:eastAsia="Times New Roman" w:hAnsi="Times New Roman" w:cs="Times New Roman"/>
          <w:color w:val="333333"/>
          <w:sz w:val="24"/>
          <w:szCs w:val="24"/>
          <w:lang w:eastAsia="el-GR"/>
        </w:rPr>
        <w:t>τους</w:t>
      </w:r>
      <w:r w:rsidR="00D167A0" w:rsidRPr="00D167A0">
        <w:rPr>
          <w:rFonts w:ascii="Times New Roman" w:eastAsia="Times New Roman" w:hAnsi="Times New Roman" w:cs="Times New Roman"/>
          <w:color w:val="333333"/>
          <w:sz w:val="24"/>
          <w:szCs w:val="24"/>
          <w:lang w:eastAsia="el-GR"/>
        </w:rPr>
        <w:t xml:space="preserve"> ανθρώπους, στο μέγιστο δυνατό βαθμό χωρίς ανάγκη προσαρμογής ή εξειδικευμένου σχεδιασμού, ενώ δεν αποκλείει την τοποθέτηση και την χρήση υποβοηθητικών συσκευών για συγκεκριμένες ομάδες ατόμων με αναπηρίες, όπου αυτό απαιτείται.</w:t>
      </w:r>
    </w:p>
    <w:p w14:paraId="1209BC55" w14:textId="77777777" w:rsidR="00D167A0" w:rsidRPr="00D167A0" w:rsidRDefault="00D167A0" w:rsidP="00D167A0">
      <w:pPr>
        <w:shd w:val="clear" w:color="auto" w:fill="FFFFFF"/>
        <w:spacing w:after="120" w:line="288" w:lineRule="auto"/>
        <w:ind w:left="284" w:right="326"/>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b/>
          <w:bCs/>
          <w:color w:val="333333"/>
          <w:sz w:val="24"/>
          <w:szCs w:val="24"/>
          <w:lang w:eastAsia="el-GR"/>
        </w:rPr>
        <w:t xml:space="preserve">Ο Καθολικός Σχεδιασμός </w:t>
      </w:r>
      <w:proofErr w:type="spellStart"/>
      <w:r w:rsidRPr="00D167A0">
        <w:rPr>
          <w:rFonts w:ascii="Times New Roman" w:eastAsia="Times New Roman" w:hAnsi="Times New Roman" w:cs="Times New Roman"/>
          <w:b/>
          <w:bCs/>
          <w:color w:val="333333"/>
          <w:sz w:val="24"/>
          <w:szCs w:val="24"/>
          <w:lang w:eastAsia="el-GR"/>
        </w:rPr>
        <w:t>διέπεται</w:t>
      </w:r>
      <w:proofErr w:type="spellEnd"/>
      <w:r w:rsidRPr="00D167A0">
        <w:rPr>
          <w:rFonts w:ascii="Times New Roman" w:eastAsia="Times New Roman" w:hAnsi="Times New Roman" w:cs="Times New Roman"/>
          <w:b/>
          <w:bCs/>
          <w:color w:val="333333"/>
          <w:sz w:val="24"/>
          <w:szCs w:val="24"/>
          <w:lang w:eastAsia="el-GR"/>
        </w:rPr>
        <w:t xml:space="preserve"> από τις εξής</w:t>
      </w:r>
      <w:r w:rsidRPr="00D167A0">
        <w:rPr>
          <w:rFonts w:ascii="Times New Roman" w:eastAsia="Times New Roman" w:hAnsi="Times New Roman" w:cs="Times New Roman"/>
          <w:color w:val="333333"/>
          <w:sz w:val="24"/>
          <w:szCs w:val="24"/>
          <w:lang w:eastAsia="el-GR"/>
        </w:rPr>
        <w:t> </w:t>
      </w:r>
      <w:r w:rsidRPr="00D167A0">
        <w:rPr>
          <w:rFonts w:ascii="Times New Roman" w:eastAsia="Times New Roman" w:hAnsi="Times New Roman" w:cs="Times New Roman"/>
          <w:b/>
          <w:bCs/>
          <w:color w:val="333333"/>
          <w:sz w:val="24"/>
          <w:szCs w:val="24"/>
          <w:lang w:eastAsia="el-GR"/>
        </w:rPr>
        <w:t>επτά αρχές</w:t>
      </w:r>
      <w:r w:rsidRPr="00D167A0">
        <w:rPr>
          <w:rFonts w:ascii="Times New Roman" w:eastAsia="Times New Roman" w:hAnsi="Times New Roman" w:cs="Times New Roman"/>
          <w:color w:val="333333"/>
          <w:sz w:val="24"/>
          <w:szCs w:val="24"/>
          <w:lang w:eastAsia="el-GR"/>
        </w:rPr>
        <w:t>:</w:t>
      </w:r>
    </w:p>
    <w:p w14:paraId="1A8AB876" w14:textId="77777777" w:rsidR="00D167A0" w:rsidRPr="00D167A0" w:rsidRDefault="00D167A0" w:rsidP="00CB218B">
      <w:pPr>
        <w:numPr>
          <w:ilvl w:val="0"/>
          <w:numId w:val="13"/>
        </w:numPr>
        <w:shd w:val="clear" w:color="auto" w:fill="FFFFFF"/>
        <w:tabs>
          <w:tab w:val="clear" w:pos="720"/>
        </w:tabs>
        <w:spacing w:after="120" w:line="288" w:lineRule="auto"/>
        <w:ind w:left="1418"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Δυνατότητα χρήσης από το μεγαλύτερο δυνατό φάσμα χρηστών</w:t>
      </w:r>
    </w:p>
    <w:p w14:paraId="56D34774" w14:textId="77777777" w:rsidR="00D167A0" w:rsidRPr="00D167A0" w:rsidRDefault="00D167A0" w:rsidP="00CB218B">
      <w:pPr>
        <w:numPr>
          <w:ilvl w:val="0"/>
          <w:numId w:val="13"/>
        </w:numPr>
        <w:shd w:val="clear" w:color="auto" w:fill="FFFFFF"/>
        <w:tabs>
          <w:tab w:val="clear" w:pos="720"/>
        </w:tabs>
        <w:spacing w:after="120" w:line="288" w:lineRule="auto"/>
        <w:ind w:left="1418"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Ευελιξία στη χρήση</w:t>
      </w:r>
    </w:p>
    <w:p w14:paraId="02691D03" w14:textId="77777777" w:rsidR="00D167A0" w:rsidRPr="00D167A0" w:rsidRDefault="00D167A0" w:rsidP="00CB218B">
      <w:pPr>
        <w:numPr>
          <w:ilvl w:val="0"/>
          <w:numId w:val="13"/>
        </w:numPr>
        <w:shd w:val="clear" w:color="auto" w:fill="FFFFFF"/>
        <w:tabs>
          <w:tab w:val="clear" w:pos="720"/>
        </w:tabs>
        <w:spacing w:after="120" w:line="288" w:lineRule="auto"/>
        <w:ind w:left="1418"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Απλή και διαισθητική χρήση</w:t>
      </w:r>
    </w:p>
    <w:p w14:paraId="158AB6D6" w14:textId="77777777" w:rsidR="00D167A0" w:rsidRPr="00D167A0" w:rsidRDefault="00D167A0" w:rsidP="00CB218B">
      <w:pPr>
        <w:numPr>
          <w:ilvl w:val="0"/>
          <w:numId w:val="13"/>
        </w:numPr>
        <w:shd w:val="clear" w:color="auto" w:fill="FFFFFF"/>
        <w:tabs>
          <w:tab w:val="clear" w:pos="720"/>
        </w:tabs>
        <w:spacing w:after="120" w:line="288" w:lineRule="auto"/>
        <w:ind w:left="1418"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Εύληπτη πληροφόρηση</w:t>
      </w:r>
    </w:p>
    <w:p w14:paraId="0594F2CF" w14:textId="77777777" w:rsidR="00D167A0" w:rsidRPr="00D167A0" w:rsidRDefault="00D167A0" w:rsidP="00CB218B">
      <w:pPr>
        <w:numPr>
          <w:ilvl w:val="0"/>
          <w:numId w:val="13"/>
        </w:numPr>
        <w:shd w:val="clear" w:color="auto" w:fill="FFFFFF"/>
        <w:tabs>
          <w:tab w:val="clear" w:pos="720"/>
        </w:tabs>
        <w:spacing w:after="120" w:line="288" w:lineRule="auto"/>
        <w:ind w:left="1418"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Ανοχή σε σφάλματα</w:t>
      </w:r>
    </w:p>
    <w:p w14:paraId="3E33A91F" w14:textId="77777777" w:rsidR="00D167A0" w:rsidRPr="00D167A0" w:rsidRDefault="00D167A0" w:rsidP="00CB218B">
      <w:pPr>
        <w:numPr>
          <w:ilvl w:val="0"/>
          <w:numId w:val="13"/>
        </w:numPr>
        <w:shd w:val="clear" w:color="auto" w:fill="FFFFFF"/>
        <w:tabs>
          <w:tab w:val="clear" w:pos="720"/>
        </w:tabs>
        <w:spacing w:after="120" w:line="288" w:lineRule="auto"/>
        <w:ind w:left="1418"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Χαμηλή σωματική προσπάθεια</w:t>
      </w:r>
    </w:p>
    <w:p w14:paraId="5EEBCD65" w14:textId="77777777" w:rsidR="00D167A0" w:rsidRPr="00D167A0" w:rsidRDefault="00D167A0" w:rsidP="00CB218B">
      <w:pPr>
        <w:numPr>
          <w:ilvl w:val="0"/>
          <w:numId w:val="13"/>
        </w:numPr>
        <w:shd w:val="clear" w:color="auto" w:fill="FFFFFF"/>
        <w:tabs>
          <w:tab w:val="clear" w:pos="720"/>
        </w:tabs>
        <w:spacing w:after="120" w:line="288" w:lineRule="auto"/>
        <w:ind w:left="1418"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Μέγεθος και χώρος προσέγγισης και χρήσης</w:t>
      </w:r>
    </w:p>
    <w:p w14:paraId="1733924E" w14:textId="77777777" w:rsidR="00D167A0" w:rsidRPr="00D167A0" w:rsidRDefault="00D167A0" w:rsidP="00962409">
      <w:pPr>
        <w:shd w:val="clear" w:color="auto" w:fill="FFFFFF"/>
        <w:spacing w:before="120" w:after="120" w:line="288" w:lineRule="auto"/>
        <w:ind w:left="284" w:right="323"/>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Για τον έλεγχο των απαιτούμενων προσαρμογών στα υφιστάμενα κτίρια βάσει των σχετικών διατάξεων του ν.4067/2012 ακολουθείται η </w:t>
      </w:r>
      <w:r w:rsidRPr="00D167A0">
        <w:rPr>
          <w:rFonts w:ascii="Times New Roman" w:eastAsia="Times New Roman" w:hAnsi="Times New Roman" w:cs="Times New Roman"/>
          <w:b/>
          <w:bCs/>
          <w:color w:val="333333"/>
          <w:sz w:val="24"/>
          <w:szCs w:val="24"/>
          <w:lang w:eastAsia="el-GR"/>
        </w:rPr>
        <w:t>«Μεθοδολογία Ελέγχου Προσβασιμότητας Δημόσιων Υπηρεσιών και Υποδομών»</w:t>
      </w:r>
      <w:r w:rsidRPr="00D167A0">
        <w:rPr>
          <w:rFonts w:ascii="Times New Roman" w:eastAsia="Times New Roman" w:hAnsi="Times New Roman" w:cs="Times New Roman"/>
          <w:color w:val="333333"/>
          <w:sz w:val="24"/>
          <w:szCs w:val="24"/>
          <w:lang w:eastAsia="el-GR"/>
        </w:rPr>
        <w:t>, που εκδόθηκε από το Υπουργείο Εσωτερικών το 2009, όπου εξετάζονται </w:t>
      </w:r>
      <w:r w:rsidRPr="00D167A0">
        <w:rPr>
          <w:rFonts w:ascii="Times New Roman" w:eastAsia="Times New Roman" w:hAnsi="Times New Roman" w:cs="Times New Roman"/>
          <w:b/>
          <w:bCs/>
          <w:color w:val="333333"/>
          <w:sz w:val="24"/>
          <w:szCs w:val="24"/>
          <w:lang w:eastAsia="el-GR"/>
        </w:rPr>
        <w:t>με σειρά προτεραιότητας</w:t>
      </w:r>
      <w:r w:rsidRPr="00D167A0">
        <w:rPr>
          <w:rFonts w:ascii="Times New Roman" w:eastAsia="Times New Roman" w:hAnsi="Times New Roman" w:cs="Times New Roman"/>
          <w:color w:val="333333"/>
          <w:sz w:val="24"/>
          <w:szCs w:val="24"/>
          <w:lang w:eastAsia="el-GR"/>
        </w:rPr>
        <w:t> τα εξής θεματικά πεδία:</w:t>
      </w:r>
    </w:p>
    <w:p w14:paraId="3080826B" w14:textId="77777777" w:rsidR="00D167A0" w:rsidRPr="00D167A0" w:rsidRDefault="00D167A0" w:rsidP="00CB218B">
      <w:pPr>
        <w:numPr>
          <w:ilvl w:val="0"/>
          <w:numId w:val="14"/>
        </w:numPr>
        <w:shd w:val="clear" w:color="auto" w:fill="FFFFFF"/>
        <w:spacing w:after="120" w:line="288" w:lineRule="auto"/>
        <w:ind w:left="284"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b/>
          <w:bCs/>
          <w:color w:val="333333"/>
          <w:sz w:val="24"/>
          <w:szCs w:val="24"/>
          <w:lang w:eastAsia="el-GR"/>
        </w:rPr>
        <w:t>Προσέγγιση – Είσοδος</w:t>
      </w:r>
    </w:p>
    <w:p w14:paraId="4D1812AB" w14:textId="77777777" w:rsidR="00D167A0" w:rsidRPr="00D167A0" w:rsidRDefault="00D167A0" w:rsidP="00CB218B">
      <w:pPr>
        <w:numPr>
          <w:ilvl w:val="0"/>
          <w:numId w:val="14"/>
        </w:numPr>
        <w:shd w:val="clear" w:color="auto" w:fill="FFFFFF"/>
        <w:spacing w:after="120" w:line="288" w:lineRule="auto"/>
        <w:ind w:left="284"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b/>
          <w:bCs/>
          <w:color w:val="333333"/>
          <w:sz w:val="24"/>
          <w:szCs w:val="24"/>
          <w:lang w:eastAsia="el-GR"/>
        </w:rPr>
        <w:t>Οριζόντια κυκλοφορία</w:t>
      </w:r>
    </w:p>
    <w:p w14:paraId="2F91151F" w14:textId="77777777" w:rsidR="00D167A0" w:rsidRPr="00D167A0" w:rsidRDefault="00D167A0" w:rsidP="00CB218B">
      <w:pPr>
        <w:numPr>
          <w:ilvl w:val="0"/>
          <w:numId w:val="14"/>
        </w:numPr>
        <w:shd w:val="clear" w:color="auto" w:fill="FFFFFF"/>
        <w:spacing w:after="120" w:line="288" w:lineRule="auto"/>
        <w:ind w:left="284"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b/>
          <w:bCs/>
          <w:color w:val="333333"/>
          <w:sz w:val="24"/>
          <w:szCs w:val="24"/>
          <w:lang w:eastAsia="el-GR"/>
        </w:rPr>
        <w:t>Κατακόρυφη κυκλοφορία</w:t>
      </w:r>
    </w:p>
    <w:p w14:paraId="6BE4086C" w14:textId="77777777" w:rsidR="00D167A0" w:rsidRPr="00D167A0" w:rsidRDefault="00D167A0" w:rsidP="00CB218B">
      <w:pPr>
        <w:numPr>
          <w:ilvl w:val="0"/>
          <w:numId w:val="14"/>
        </w:numPr>
        <w:shd w:val="clear" w:color="auto" w:fill="FFFFFF"/>
        <w:spacing w:after="120" w:line="288" w:lineRule="auto"/>
        <w:ind w:left="284"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b/>
          <w:bCs/>
          <w:color w:val="333333"/>
          <w:sz w:val="24"/>
          <w:szCs w:val="24"/>
          <w:lang w:eastAsia="el-GR"/>
        </w:rPr>
        <w:t>Εξυπηρετήσεις- εξοπλισμός</w:t>
      </w:r>
    </w:p>
    <w:p w14:paraId="3D7A0A63" w14:textId="77777777" w:rsidR="00962409" w:rsidRDefault="00962409" w:rsidP="00962409">
      <w:pPr>
        <w:shd w:val="clear" w:color="auto" w:fill="FFFFFF"/>
        <w:spacing w:before="120" w:after="120" w:line="288" w:lineRule="auto"/>
        <w:ind w:left="284" w:right="323"/>
        <w:mirrorIndents/>
        <w:jc w:val="both"/>
        <w:rPr>
          <w:rFonts w:ascii="Times New Roman" w:eastAsia="Times New Roman" w:hAnsi="Times New Roman" w:cs="Times New Roman"/>
          <w:color w:val="333333"/>
          <w:sz w:val="24"/>
          <w:szCs w:val="24"/>
          <w:lang w:eastAsia="el-GR"/>
        </w:rPr>
      </w:pPr>
    </w:p>
    <w:p w14:paraId="2623FFFC" w14:textId="2161BC1B" w:rsidR="00D167A0" w:rsidRPr="00D167A0" w:rsidRDefault="00D167A0" w:rsidP="00962409">
      <w:pPr>
        <w:shd w:val="clear" w:color="auto" w:fill="FFFFFF"/>
        <w:spacing w:before="120" w:after="120" w:line="288" w:lineRule="auto"/>
        <w:ind w:left="284" w:right="323"/>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 xml:space="preserve">Να τονισθεί πως πρωταρχικό στόχο κατά την υλοποίηση προσαρμογών αποτελεί η ικανοποίηση των αναγκών όλων των χρηστών, συνεπώς και όλων των κατηγοριών </w:t>
      </w:r>
      <w:r w:rsidRPr="00D167A0">
        <w:rPr>
          <w:rFonts w:ascii="Times New Roman" w:eastAsia="Times New Roman" w:hAnsi="Times New Roman" w:cs="Times New Roman"/>
          <w:color w:val="333333"/>
          <w:sz w:val="24"/>
          <w:szCs w:val="24"/>
          <w:lang w:eastAsia="el-GR"/>
        </w:rPr>
        <w:lastRenderedPageBreak/>
        <w:t>ατόμων με αναπηρίες. </w:t>
      </w:r>
      <w:r w:rsidRPr="00D167A0">
        <w:rPr>
          <w:rFonts w:ascii="Times New Roman" w:eastAsia="Times New Roman" w:hAnsi="Times New Roman" w:cs="Times New Roman"/>
          <w:b/>
          <w:bCs/>
          <w:color w:val="333333"/>
          <w:sz w:val="24"/>
          <w:szCs w:val="24"/>
          <w:lang w:eastAsia="el-GR"/>
        </w:rPr>
        <w:t>Σε περίπτωση όμως αποδεδειγμένης αδυναμίας ικανοποίησης των αναγκών κάποιας κατηγορίας εξ αυτών, θα πρέπει οπωσδήποτε να διασφαλίζεται η ικανοποίηση των αναγκών όλων των υπολοίπων κατηγοριών.</w:t>
      </w:r>
    </w:p>
    <w:p w14:paraId="4E203DFD" w14:textId="77777777" w:rsidR="00D167A0" w:rsidRPr="00D167A0" w:rsidRDefault="00D167A0" w:rsidP="00D167A0">
      <w:pPr>
        <w:shd w:val="clear" w:color="auto" w:fill="FFFFFF"/>
        <w:spacing w:after="120" w:line="288" w:lineRule="auto"/>
        <w:ind w:left="284" w:right="326"/>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Περαιτέρω, αναλύονται διεξοδικά οι τεχνικές οδηγίες οι οποίες ορίζουν μία σειρά από θέματα που συνίστανται, συνοπτικά, στα εξής:</w:t>
      </w:r>
    </w:p>
    <w:p w14:paraId="45F6EBC6" w14:textId="77777777" w:rsidR="00D167A0" w:rsidRPr="00D167A0" w:rsidRDefault="00D167A0" w:rsidP="00CB218B">
      <w:pPr>
        <w:numPr>
          <w:ilvl w:val="0"/>
          <w:numId w:val="15"/>
        </w:numPr>
        <w:shd w:val="clear" w:color="auto" w:fill="FFFFFF"/>
        <w:spacing w:after="120" w:line="288" w:lineRule="auto"/>
        <w:ind w:left="284" w:right="326" w:firstLine="0"/>
        <w:mirrorIndents/>
        <w:jc w:val="both"/>
        <w:rPr>
          <w:rFonts w:ascii="Times New Roman" w:eastAsia="Times New Roman" w:hAnsi="Times New Roman" w:cs="Times New Roman"/>
          <w:color w:val="333333"/>
          <w:sz w:val="24"/>
          <w:szCs w:val="24"/>
          <w:lang w:eastAsia="el-GR"/>
        </w:rPr>
      </w:pPr>
      <w:proofErr w:type="spellStart"/>
      <w:r w:rsidRPr="00D167A0">
        <w:rPr>
          <w:rFonts w:ascii="Times New Roman" w:eastAsia="Times New Roman" w:hAnsi="Times New Roman" w:cs="Times New Roman"/>
          <w:color w:val="333333"/>
          <w:sz w:val="24"/>
          <w:szCs w:val="24"/>
          <w:lang w:eastAsia="el-GR"/>
        </w:rPr>
        <w:t>Προσβάσιμες</w:t>
      </w:r>
      <w:proofErr w:type="spellEnd"/>
      <w:r w:rsidRPr="00D167A0">
        <w:rPr>
          <w:rFonts w:ascii="Times New Roman" w:eastAsia="Times New Roman" w:hAnsi="Times New Roman" w:cs="Times New Roman"/>
          <w:color w:val="333333"/>
          <w:sz w:val="24"/>
          <w:szCs w:val="24"/>
          <w:lang w:eastAsia="el-GR"/>
        </w:rPr>
        <w:t xml:space="preserve"> διαδρομές</w:t>
      </w:r>
    </w:p>
    <w:p w14:paraId="2CBFF51B" w14:textId="77777777" w:rsidR="00D167A0" w:rsidRPr="00D167A0" w:rsidRDefault="00D167A0" w:rsidP="00CB218B">
      <w:pPr>
        <w:numPr>
          <w:ilvl w:val="0"/>
          <w:numId w:val="15"/>
        </w:numPr>
        <w:shd w:val="clear" w:color="auto" w:fill="FFFFFF"/>
        <w:spacing w:after="120" w:line="288" w:lineRule="auto"/>
        <w:ind w:left="284" w:right="326" w:firstLine="0"/>
        <w:mirrorIndents/>
        <w:jc w:val="both"/>
        <w:rPr>
          <w:rFonts w:ascii="Times New Roman" w:eastAsia="Times New Roman" w:hAnsi="Times New Roman" w:cs="Times New Roman"/>
          <w:color w:val="333333"/>
          <w:sz w:val="24"/>
          <w:szCs w:val="24"/>
          <w:lang w:eastAsia="el-GR"/>
        </w:rPr>
      </w:pPr>
      <w:proofErr w:type="spellStart"/>
      <w:r w:rsidRPr="00D167A0">
        <w:rPr>
          <w:rFonts w:ascii="Times New Roman" w:eastAsia="Times New Roman" w:hAnsi="Times New Roman" w:cs="Times New Roman"/>
          <w:color w:val="333333"/>
          <w:sz w:val="24"/>
          <w:szCs w:val="24"/>
          <w:lang w:eastAsia="el-GR"/>
        </w:rPr>
        <w:t>Προσβάσιμη</w:t>
      </w:r>
      <w:proofErr w:type="spellEnd"/>
      <w:r w:rsidRPr="00D167A0">
        <w:rPr>
          <w:rFonts w:ascii="Times New Roman" w:eastAsia="Times New Roman" w:hAnsi="Times New Roman" w:cs="Times New Roman"/>
          <w:color w:val="333333"/>
          <w:sz w:val="24"/>
          <w:szCs w:val="24"/>
          <w:lang w:eastAsia="el-GR"/>
        </w:rPr>
        <w:t xml:space="preserve"> Είσοδος</w:t>
      </w:r>
    </w:p>
    <w:p w14:paraId="5B2ACF0B" w14:textId="77777777" w:rsidR="00D167A0" w:rsidRPr="00D167A0" w:rsidRDefault="00D167A0" w:rsidP="00CB218B">
      <w:pPr>
        <w:numPr>
          <w:ilvl w:val="0"/>
          <w:numId w:val="15"/>
        </w:numPr>
        <w:shd w:val="clear" w:color="auto" w:fill="FFFFFF"/>
        <w:spacing w:after="120" w:line="288" w:lineRule="auto"/>
        <w:ind w:left="284"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Κάλυψη υψομετρικών διαφορών – Οριζόντια και κατακόρυφη κυκλοφορία</w:t>
      </w:r>
    </w:p>
    <w:p w14:paraId="1455C8B8" w14:textId="77777777" w:rsidR="00D167A0" w:rsidRPr="00D167A0" w:rsidRDefault="00D167A0" w:rsidP="00CB218B">
      <w:pPr>
        <w:numPr>
          <w:ilvl w:val="0"/>
          <w:numId w:val="15"/>
        </w:numPr>
        <w:shd w:val="clear" w:color="auto" w:fill="FFFFFF"/>
        <w:spacing w:after="120" w:line="288" w:lineRule="auto"/>
        <w:ind w:left="284"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Χώροι υγιεινής</w:t>
      </w:r>
    </w:p>
    <w:p w14:paraId="3A01E7A7" w14:textId="77777777" w:rsidR="00D167A0" w:rsidRPr="00D167A0" w:rsidRDefault="00D167A0" w:rsidP="00CB218B">
      <w:pPr>
        <w:numPr>
          <w:ilvl w:val="0"/>
          <w:numId w:val="15"/>
        </w:numPr>
        <w:shd w:val="clear" w:color="auto" w:fill="FFFFFF"/>
        <w:spacing w:after="120" w:line="288" w:lineRule="auto"/>
        <w:ind w:left="284"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Σήμανση</w:t>
      </w:r>
    </w:p>
    <w:p w14:paraId="7620BCF8" w14:textId="77777777" w:rsidR="00D167A0" w:rsidRPr="00D167A0" w:rsidRDefault="00D167A0" w:rsidP="00CB218B">
      <w:pPr>
        <w:numPr>
          <w:ilvl w:val="0"/>
          <w:numId w:val="15"/>
        </w:numPr>
        <w:shd w:val="clear" w:color="auto" w:fill="FFFFFF"/>
        <w:spacing w:after="120" w:line="288" w:lineRule="auto"/>
        <w:ind w:left="284"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Χώροι αναμονής και διαφυγή σε έκτακτες περιπτώσεις</w:t>
      </w:r>
    </w:p>
    <w:p w14:paraId="60FE64FC" w14:textId="77777777" w:rsidR="00D167A0" w:rsidRPr="00D167A0" w:rsidRDefault="00D167A0" w:rsidP="00CB218B">
      <w:pPr>
        <w:numPr>
          <w:ilvl w:val="0"/>
          <w:numId w:val="15"/>
        </w:numPr>
        <w:shd w:val="clear" w:color="auto" w:fill="FFFFFF"/>
        <w:spacing w:after="120" w:line="288" w:lineRule="auto"/>
        <w:ind w:left="284" w:right="326" w:firstLine="0"/>
        <w:mirrorIndents/>
        <w:jc w:val="both"/>
        <w:rPr>
          <w:rFonts w:ascii="Times New Roman" w:eastAsia="Times New Roman" w:hAnsi="Times New Roman" w:cs="Times New Roman"/>
          <w:color w:val="333333"/>
          <w:sz w:val="24"/>
          <w:szCs w:val="24"/>
          <w:lang w:eastAsia="el-GR"/>
        </w:rPr>
      </w:pPr>
      <w:proofErr w:type="spellStart"/>
      <w:r w:rsidRPr="00D167A0">
        <w:rPr>
          <w:rFonts w:ascii="Times New Roman" w:eastAsia="Times New Roman" w:hAnsi="Times New Roman" w:cs="Times New Roman"/>
          <w:color w:val="333333"/>
          <w:sz w:val="24"/>
          <w:szCs w:val="24"/>
          <w:lang w:eastAsia="el-GR"/>
        </w:rPr>
        <w:t>Περιβάλλοντες</w:t>
      </w:r>
      <w:proofErr w:type="spellEnd"/>
      <w:r w:rsidRPr="00D167A0">
        <w:rPr>
          <w:rFonts w:ascii="Times New Roman" w:eastAsia="Times New Roman" w:hAnsi="Times New Roman" w:cs="Times New Roman"/>
          <w:color w:val="333333"/>
          <w:sz w:val="24"/>
          <w:szCs w:val="24"/>
          <w:lang w:eastAsia="el-GR"/>
        </w:rPr>
        <w:t xml:space="preserve"> χώροι κτιρίων</w:t>
      </w:r>
    </w:p>
    <w:p w14:paraId="1A751128" w14:textId="77777777" w:rsidR="00D167A0" w:rsidRPr="00D167A0" w:rsidRDefault="00D167A0" w:rsidP="00CB218B">
      <w:pPr>
        <w:numPr>
          <w:ilvl w:val="0"/>
          <w:numId w:val="15"/>
        </w:numPr>
        <w:shd w:val="clear" w:color="auto" w:fill="FFFFFF"/>
        <w:spacing w:after="120" w:line="288" w:lineRule="auto"/>
        <w:ind w:left="284"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Διατηρητέα κτίρια – ελάχιστες παρεμβάσεις,</w:t>
      </w:r>
    </w:p>
    <w:p w14:paraId="181FFDCE" w14:textId="77777777" w:rsidR="00D167A0" w:rsidRPr="00D167A0" w:rsidRDefault="00D167A0" w:rsidP="00D167A0">
      <w:pPr>
        <w:shd w:val="clear" w:color="auto" w:fill="FFFFFF"/>
        <w:spacing w:after="120" w:line="288" w:lineRule="auto"/>
        <w:ind w:left="284" w:right="326"/>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καθώς και η καταλληλόλητα υλικών σε ζητήματα που αφορούν σε:</w:t>
      </w:r>
    </w:p>
    <w:p w14:paraId="1E588C3F" w14:textId="77777777" w:rsidR="00D167A0" w:rsidRPr="00D167A0" w:rsidRDefault="00D167A0" w:rsidP="00CB218B">
      <w:pPr>
        <w:numPr>
          <w:ilvl w:val="0"/>
          <w:numId w:val="16"/>
        </w:numPr>
        <w:shd w:val="clear" w:color="auto" w:fill="FFFFFF"/>
        <w:spacing w:after="120" w:line="288" w:lineRule="auto"/>
        <w:ind w:left="284"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Επιστρώσεις δαπέδων</w:t>
      </w:r>
    </w:p>
    <w:p w14:paraId="46092082" w14:textId="77777777" w:rsidR="00D167A0" w:rsidRPr="00D167A0" w:rsidRDefault="00D167A0" w:rsidP="00CB218B">
      <w:pPr>
        <w:numPr>
          <w:ilvl w:val="0"/>
          <w:numId w:val="16"/>
        </w:numPr>
        <w:shd w:val="clear" w:color="auto" w:fill="FFFFFF"/>
        <w:spacing w:after="120" w:line="288" w:lineRule="auto"/>
        <w:ind w:left="284"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Επενδύσεις κατακόρυφων επιφανειών</w:t>
      </w:r>
    </w:p>
    <w:p w14:paraId="52538D92" w14:textId="77777777" w:rsidR="00962409" w:rsidRDefault="00962409" w:rsidP="00D167A0">
      <w:pPr>
        <w:shd w:val="clear" w:color="auto" w:fill="FFFFFF"/>
        <w:spacing w:after="120" w:line="288" w:lineRule="auto"/>
        <w:ind w:left="284" w:right="326"/>
        <w:mirrorIndents/>
        <w:jc w:val="both"/>
        <w:rPr>
          <w:rFonts w:ascii="Times New Roman" w:eastAsia="Times New Roman" w:hAnsi="Times New Roman" w:cs="Times New Roman"/>
          <w:b/>
          <w:bCs/>
          <w:color w:val="333333"/>
          <w:sz w:val="24"/>
          <w:szCs w:val="24"/>
          <w:lang w:eastAsia="el-GR"/>
        </w:rPr>
      </w:pPr>
    </w:p>
    <w:p w14:paraId="6730E9F9" w14:textId="40387E56" w:rsidR="00D167A0" w:rsidRPr="00D167A0" w:rsidRDefault="00D167A0" w:rsidP="00D167A0">
      <w:pPr>
        <w:shd w:val="clear" w:color="auto" w:fill="FFFFFF"/>
        <w:spacing w:after="120" w:line="288" w:lineRule="auto"/>
        <w:ind w:left="284" w:right="326"/>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b/>
          <w:bCs/>
          <w:color w:val="333333"/>
          <w:sz w:val="24"/>
          <w:szCs w:val="24"/>
          <w:lang w:eastAsia="el-GR"/>
        </w:rPr>
        <w:t>Βασικά σημεία των Τεχνικών Οδηγιών</w:t>
      </w:r>
      <w:r w:rsidRPr="00D167A0">
        <w:rPr>
          <w:rFonts w:ascii="Times New Roman" w:eastAsia="Times New Roman" w:hAnsi="Times New Roman" w:cs="Times New Roman"/>
          <w:color w:val="333333"/>
          <w:sz w:val="24"/>
          <w:szCs w:val="24"/>
          <w:lang w:eastAsia="el-GR"/>
        </w:rPr>
        <w:t> είναι:</w:t>
      </w:r>
    </w:p>
    <w:p w14:paraId="5A8CF1FD" w14:textId="77777777" w:rsidR="00D167A0" w:rsidRPr="00D167A0" w:rsidRDefault="00D167A0" w:rsidP="00CB218B">
      <w:pPr>
        <w:numPr>
          <w:ilvl w:val="0"/>
          <w:numId w:val="17"/>
        </w:numPr>
        <w:shd w:val="clear" w:color="auto" w:fill="FFFFFF"/>
        <w:tabs>
          <w:tab w:val="clear" w:pos="720"/>
          <w:tab w:val="left" w:pos="426"/>
        </w:tabs>
        <w:spacing w:after="120" w:line="288" w:lineRule="auto"/>
        <w:ind w:left="284" w:right="326" w:hanging="11"/>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Η </w:t>
      </w:r>
      <w:r w:rsidRPr="00D167A0">
        <w:rPr>
          <w:rFonts w:ascii="Times New Roman" w:eastAsia="Times New Roman" w:hAnsi="Times New Roman" w:cs="Times New Roman"/>
          <w:b/>
          <w:bCs/>
          <w:color w:val="333333"/>
          <w:sz w:val="24"/>
          <w:szCs w:val="24"/>
          <w:lang w:eastAsia="el-GR"/>
        </w:rPr>
        <w:t xml:space="preserve">πρόβλεψη για τη δημιουργία προστατευμένων </w:t>
      </w:r>
      <w:proofErr w:type="spellStart"/>
      <w:r w:rsidRPr="00D167A0">
        <w:rPr>
          <w:rFonts w:ascii="Times New Roman" w:eastAsia="Times New Roman" w:hAnsi="Times New Roman" w:cs="Times New Roman"/>
          <w:b/>
          <w:bCs/>
          <w:color w:val="333333"/>
          <w:sz w:val="24"/>
          <w:szCs w:val="24"/>
          <w:lang w:eastAsia="el-GR"/>
        </w:rPr>
        <w:t>προσβάσιμων</w:t>
      </w:r>
      <w:proofErr w:type="spellEnd"/>
      <w:r w:rsidRPr="00D167A0">
        <w:rPr>
          <w:rFonts w:ascii="Times New Roman" w:eastAsia="Times New Roman" w:hAnsi="Times New Roman" w:cs="Times New Roman"/>
          <w:b/>
          <w:bCs/>
          <w:color w:val="333333"/>
          <w:sz w:val="24"/>
          <w:szCs w:val="24"/>
          <w:lang w:eastAsia="el-GR"/>
        </w:rPr>
        <w:t xml:space="preserve"> χώρων αναμονής</w:t>
      </w:r>
      <w:r w:rsidRPr="00D167A0">
        <w:rPr>
          <w:rFonts w:ascii="Times New Roman" w:eastAsia="Times New Roman" w:hAnsi="Times New Roman" w:cs="Times New Roman"/>
          <w:color w:val="333333"/>
          <w:sz w:val="24"/>
          <w:szCs w:val="24"/>
          <w:lang w:eastAsia="el-GR"/>
        </w:rPr>
        <w:t> </w:t>
      </w:r>
      <w:r w:rsidRPr="00D167A0">
        <w:rPr>
          <w:rFonts w:ascii="Times New Roman" w:eastAsia="Times New Roman" w:hAnsi="Times New Roman" w:cs="Times New Roman"/>
          <w:b/>
          <w:bCs/>
          <w:color w:val="333333"/>
          <w:sz w:val="24"/>
          <w:szCs w:val="24"/>
          <w:lang w:eastAsia="el-GR"/>
        </w:rPr>
        <w:t>σε περίπτωση έκτακτων αναγκών</w:t>
      </w:r>
      <w:r w:rsidRPr="00D167A0">
        <w:rPr>
          <w:rFonts w:ascii="Times New Roman" w:eastAsia="Times New Roman" w:hAnsi="Times New Roman" w:cs="Times New Roman"/>
          <w:color w:val="333333"/>
          <w:sz w:val="24"/>
          <w:szCs w:val="24"/>
          <w:lang w:eastAsia="el-GR"/>
        </w:rPr>
        <w:t> σε κάθε όροφο </w:t>
      </w:r>
      <w:r w:rsidRPr="00D167A0">
        <w:rPr>
          <w:rFonts w:ascii="Times New Roman" w:eastAsia="Times New Roman" w:hAnsi="Times New Roman" w:cs="Times New Roman"/>
          <w:b/>
          <w:bCs/>
          <w:color w:val="333333"/>
          <w:sz w:val="24"/>
          <w:szCs w:val="24"/>
          <w:lang w:eastAsia="el-GR"/>
        </w:rPr>
        <w:t>αφορά και σε όλα τα υφιστάμενα κτίρια των ειδικών χρήσεων, </w:t>
      </w:r>
      <w:r w:rsidRPr="00D167A0">
        <w:rPr>
          <w:rFonts w:ascii="Times New Roman" w:eastAsia="Times New Roman" w:hAnsi="Times New Roman" w:cs="Times New Roman"/>
          <w:color w:val="333333"/>
          <w:sz w:val="24"/>
          <w:szCs w:val="24"/>
          <w:lang w:eastAsia="el-GR"/>
        </w:rPr>
        <w:t>που αναφέρονται αναλυτικά στις αντίστοιχες διατάξεις του Νέου Οικοδομικού που κανονισμού με μόνη </w:t>
      </w:r>
      <w:r w:rsidRPr="00D167A0">
        <w:rPr>
          <w:rFonts w:ascii="Times New Roman" w:eastAsia="Times New Roman" w:hAnsi="Times New Roman" w:cs="Times New Roman"/>
          <w:b/>
          <w:bCs/>
          <w:color w:val="333333"/>
          <w:sz w:val="24"/>
          <w:szCs w:val="24"/>
          <w:lang w:eastAsia="el-GR"/>
        </w:rPr>
        <w:t>εξαίρεση</w:t>
      </w:r>
      <w:r w:rsidRPr="00D167A0">
        <w:rPr>
          <w:rFonts w:ascii="Times New Roman" w:eastAsia="Times New Roman" w:hAnsi="Times New Roman" w:cs="Times New Roman"/>
          <w:color w:val="333333"/>
          <w:sz w:val="24"/>
          <w:szCs w:val="24"/>
          <w:lang w:eastAsia="el-GR"/>
        </w:rPr>
        <w:t xml:space="preserve"> από την υποχρέωση αυτή των κτιρίων που είναι </w:t>
      </w:r>
      <w:proofErr w:type="spellStart"/>
      <w:r w:rsidRPr="00D167A0">
        <w:rPr>
          <w:rFonts w:ascii="Times New Roman" w:eastAsia="Times New Roman" w:hAnsi="Times New Roman" w:cs="Times New Roman"/>
          <w:color w:val="333333"/>
          <w:sz w:val="24"/>
          <w:szCs w:val="24"/>
          <w:lang w:eastAsia="el-GR"/>
        </w:rPr>
        <w:t>μονόροφα</w:t>
      </w:r>
      <w:proofErr w:type="spellEnd"/>
      <w:r w:rsidRPr="00D167A0">
        <w:rPr>
          <w:rFonts w:ascii="Times New Roman" w:eastAsia="Times New Roman" w:hAnsi="Times New Roman" w:cs="Times New Roman"/>
          <w:color w:val="333333"/>
          <w:sz w:val="24"/>
          <w:szCs w:val="24"/>
          <w:lang w:eastAsia="el-GR"/>
        </w:rPr>
        <w:t xml:space="preserve"> (ισόγεια) και διαθέτουν </w:t>
      </w:r>
      <w:proofErr w:type="spellStart"/>
      <w:r w:rsidRPr="00D167A0">
        <w:rPr>
          <w:rFonts w:ascii="Times New Roman" w:eastAsia="Times New Roman" w:hAnsi="Times New Roman" w:cs="Times New Roman"/>
          <w:color w:val="333333"/>
          <w:sz w:val="24"/>
          <w:szCs w:val="24"/>
          <w:lang w:eastAsia="el-GR"/>
        </w:rPr>
        <w:t>προσβάσιμη</w:t>
      </w:r>
      <w:proofErr w:type="spellEnd"/>
      <w:r w:rsidRPr="00D167A0">
        <w:rPr>
          <w:rFonts w:ascii="Times New Roman" w:eastAsia="Times New Roman" w:hAnsi="Times New Roman" w:cs="Times New Roman"/>
          <w:color w:val="333333"/>
          <w:sz w:val="24"/>
          <w:szCs w:val="24"/>
          <w:lang w:eastAsia="el-GR"/>
        </w:rPr>
        <w:t xml:space="preserve"> είσοδο/έξοδο ή διαθέτουν αυτόματα συστήματα </w:t>
      </w:r>
      <w:proofErr w:type="spellStart"/>
      <w:r w:rsidRPr="00D167A0">
        <w:rPr>
          <w:rFonts w:ascii="Times New Roman" w:eastAsia="Times New Roman" w:hAnsi="Times New Roman" w:cs="Times New Roman"/>
          <w:color w:val="333333"/>
          <w:sz w:val="24"/>
          <w:szCs w:val="24"/>
          <w:lang w:eastAsia="el-GR"/>
        </w:rPr>
        <w:t>καταιονιστήρων</w:t>
      </w:r>
      <w:proofErr w:type="spellEnd"/>
      <w:r w:rsidRPr="00D167A0">
        <w:rPr>
          <w:rFonts w:ascii="Times New Roman" w:eastAsia="Times New Roman" w:hAnsi="Times New Roman" w:cs="Times New Roman"/>
          <w:color w:val="333333"/>
          <w:sz w:val="24"/>
          <w:szCs w:val="24"/>
          <w:lang w:eastAsia="el-GR"/>
        </w:rPr>
        <w:t xml:space="preserve"> (</w:t>
      </w:r>
      <w:proofErr w:type="spellStart"/>
      <w:r w:rsidRPr="00D167A0">
        <w:rPr>
          <w:rFonts w:ascii="Times New Roman" w:eastAsia="Times New Roman" w:hAnsi="Times New Roman" w:cs="Times New Roman"/>
          <w:color w:val="333333"/>
          <w:sz w:val="24"/>
          <w:szCs w:val="24"/>
          <w:lang w:eastAsia="el-GR"/>
        </w:rPr>
        <w:t>sprinklers</w:t>
      </w:r>
      <w:proofErr w:type="spellEnd"/>
      <w:r w:rsidRPr="00D167A0">
        <w:rPr>
          <w:rFonts w:ascii="Times New Roman" w:eastAsia="Times New Roman" w:hAnsi="Times New Roman" w:cs="Times New Roman"/>
          <w:color w:val="333333"/>
          <w:sz w:val="24"/>
          <w:szCs w:val="24"/>
          <w:lang w:eastAsia="el-GR"/>
        </w:rPr>
        <w:t>), βάσει των διατάξεων του «Κανονισμού πυροπροστασίας των κτιρίων» του 1988 (Π.Δ.71/1988 – ΦΕΚ 32Α/1988).</w:t>
      </w:r>
    </w:p>
    <w:p w14:paraId="6C2C4C67" w14:textId="77777777" w:rsidR="00D167A0" w:rsidRPr="00D167A0" w:rsidRDefault="00D167A0" w:rsidP="00CB218B">
      <w:pPr>
        <w:numPr>
          <w:ilvl w:val="0"/>
          <w:numId w:val="17"/>
        </w:numPr>
        <w:shd w:val="clear" w:color="auto" w:fill="FFFFFF"/>
        <w:tabs>
          <w:tab w:val="clear" w:pos="720"/>
          <w:tab w:val="left" w:pos="426"/>
        </w:tabs>
        <w:spacing w:after="120" w:line="288" w:lineRule="auto"/>
        <w:ind w:left="284" w:right="326" w:hanging="11"/>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Για τις παρεμβάσεις σε </w:t>
      </w:r>
      <w:r w:rsidRPr="00D167A0">
        <w:rPr>
          <w:rFonts w:ascii="Times New Roman" w:eastAsia="Times New Roman" w:hAnsi="Times New Roman" w:cs="Times New Roman"/>
          <w:b/>
          <w:bCs/>
          <w:color w:val="333333"/>
          <w:sz w:val="24"/>
          <w:szCs w:val="24"/>
          <w:lang w:eastAsia="el-GR"/>
        </w:rPr>
        <w:t>διατηρητέα κτίρια</w:t>
      </w:r>
      <w:r w:rsidRPr="00D167A0">
        <w:rPr>
          <w:rFonts w:ascii="Times New Roman" w:eastAsia="Times New Roman" w:hAnsi="Times New Roman" w:cs="Times New Roman"/>
          <w:color w:val="333333"/>
          <w:sz w:val="24"/>
          <w:szCs w:val="24"/>
          <w:lang w:eastAsia="el-GR"/>
        </w:rPr>
        <w:t> γνωμοδοτεί το αρμόδιο </w:t>
      </w:r>
      <w:r w:rsidRPr="00D167A0">
        <w:rPr>
          <w:rFonts w:ascii="Times New Roman" w:eastAsia="Times New Roman" w:hAnsi="Times New Roman" w:cs="Times New Roman"/>
          <w:b/>
          <w:bCs/>
          <w:color w:val="333333"/>
          <w:sz w:val="24"/>
          <w:szCs w:val="24"/>
          <w:lang w:eastAsia="el-GR"/>
        </w:rPr>
        <w:t>Συμβούλιο Αρχιτεκτονικής</w:t>
      </w:r>
      <w:r w:rsidRPr="00D167A0">
        <w:rPr>
          <w:rFonts w:ascii="Times New Roman" w:eastAsia="Times New Roman" w:hAnsi="Times New Roman" w:cs="Times New Roman"/>
          <w:color w:val="333333"/>
          <w:sz w:val="24"/>
          <w:szCs w:val="24"/>
          <w:lang w:eastAsia="el-GR"/>
        </w:rPr>
        <w:t> υπέρ ή κατά των προτεινόμενων παρεμβάσεων που επηρεάζουν ενδεχομένως τα μορφολογικά και λειτουργικά χαρακτηριστικά τους, ενώ για τα διατηρητέα κτίρια τα οποία είναι </w:t>
      </w:r>
      <w:r w:rsidRPr="00D167A0">
        <w:rPr>
          <w:rFonts w:ascii="Times New Roman" w:eastAsia="Times New Roman" w:hAnsi="Times New Roman" w:cs="Times New Roman"/>
          <w:b/>
          <w:bCs/>
          <w:color w:val="333333"/>
          <w:sz w:val="24"/>
          <w:szCs w:val="24"/>
          <w:lang w:eastAsia="el-GR"/>
        </w:rPr>
        <w:t>κηρυγμένα και ως</w:t>
      </w:r>
      <w:r w:rsidRPr="00D167A0">
        <w:rPr>
          <w:rFonts w:ascii="Times New Roman" w:eastAsia="Times New Roman" w:hAnsi="Times New Roman" w:cs="Times New Roman"/>
          <w:color w:val="333333"/>
          <w:sz w:val="24"/>
          <w:szCs w:val="24"/>
          <w:lang w:eastAsia="el-GR"/>
        </w:rPr>
        <w:t> </w:t>
      </w:r>
      <w:proofErr w:type="spellStart"/>
      <w:r w:rsidRPr="00D167A0">
        <w:rPr>
          <w:rFonts w:ascii="Times New Roman" w:eastAsia="Times New Roman" w:hAnsi="Times New Roman" w:cs="Times New Roman"/>
          <w:b/>
          <w:bCs/>
          <w:color w:val="333333"/>
          <w:sz w:val="24"/>
          <w:szCs w:val="24"/>
          <w:lang w:eastAsia="el-GR"/>
        </w:rPr>
        <w:t>νεώτερα</w:t>
      </w:r>
      <w:proofErr w:type="spellEnd"/>
      <w:r w:rsidRPr="00D167A0">
        <w:rPr>
          <w:rFonts w:ascii="Times New Roman" w:eastAsia="Times New Roman" w:hAnsi="Times New Roman" w:cs="Times New Roman"/>
          <w:b/>
          <w:bCs/>
          <w:color w:val="333333"/>
          <w:sz w:val="24"/>
          <w:szCs w:val="24"/>
          <w:lang w:eastAsia="el-GR"/>
        </w:rPr>
        <w:t xml:space="preserve"> μνημεία από το Υπουργείο Πολιτισμού και Αθλητισμού (ΥΠ.ΠΟ.Α.)</w:t>
      </w:r>
      <w:r w:rsidRPr="00D167A0">
        <w:rPr>
          <w:rFonts w:ascii="Times New Roman" w:eastAsia="Times New Roman" w:hAnsi="Times New Roman" w:cs="Times New Roman"/>
          <w:color w:val="333333"/>
          <w:sz w:val="24"/>
          <w:szCs w:val="24"/>
          <w:lang w:eastAsia="el-GR"/>
        </w:rPr>
        <w:t> θα πρέπει να έχει εκδοθεί και απόφαση </w:t>
      </w:r>
      <w:r w:rsidRPr="00D167A0">
        <w:rPr>
          <w:rFonts w:ascii="Times New Roman" w:eastAsia="Times New Roman" w:hAnsi="Times New Roman" w:cs="Times New Roman"/>
          <w:b/>
          <w:bCs/>
          <w:color w:val="333333"/>
          <w:sz w:val="24"/>
          <w:szCs w:val="24"/>
          <w:lang w:eastAsia="el-GR"/>
        </w:rPr>
        <w:t>έγκρισης της μελέτης από την αρμόδια υπηρεσία του ΥΠ.ΠΟ.Α.</w:t>
      </w:r>
    </w:p>
    <w:p w14:paraId="7A7BEEEB" w14:textId="77777777" w:rsidR="00D167A0" w:rsidRPr="00D167A0" w:rsidRDefault="00D167A0" w:rsidP="00CB218B">
      <w:pPr>
        <w:numPr>
          <w:ilvl w:val="0"/>
          <w:numId w:val="17"/>
        </w:numPr>
        <w:shd w:val="clear" w:color="auto" w:fill="FFFFFF"/>
        <w:tabs>
          <w:tab w:val="clear" w:pos="720"/>
          <w:tab w:val="left" w:pos="426"/>
        </w:tabs>
        <w:spacing w:after="120" w:line="288" w:lineRule="auto"/>
        <w:ind w:left="284"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Για την </w:t>
      </w:r>
      <w:r w:rsidRPr="00D167A0">
        <w:rPr>
          <w:rFonts w:ascii="Times New Roman" w:eastAsia="Times New Roman" w:hAnsi="Times New Roman" w:cs="Times New Roman"/>
          <w:b/>
          <w:bCs/>
          <w:color w:val="333333"/>
          <w:sz w:val="24"/>
          <w:szCs w:val="24"/>
          <w:lang w:eastAsia="el-GR"/>
        </w:rPr>
        <w:t>κάλυψη υψομετρικών διαφορών</w:t>
      </w:r>
      <w:r w:rsidRPr="00D167A0">
        <w:rPr>
          <w:rFonts w:ascii="Times New Roman" w:eastAsia="Times New Roman" w:hAnsi="Times New Roman" w:cs="Times New Roman"/>
          <w:color w:val="333333"/>
          <w:sz w:val="24"/>
          <w:szCs w:val="24"/>
          <w:lang w:eastAsia="el-GR"/>
        </w:rPr>
        <w:t xml:space="preserve"> (ειδικότερα στον υπαίθριο χώρο) η κατασκευή κλιμάκων είναι πάντοτε αναγκαία για την κάλυψη υψομετρικών </w:t>
      </w:r>
      <w:r w:rsidRPr="00D167A0">
        <w:rPr>
          <w:rFonts w:ascii="Times New Roman" w:eastAsia="Times New Roman" w:hAnsi="Times New Roman" w:cs="Times New Roman"/>
          <w:color w:val="333333"/>
          <w:sz w:val="24"/>
          <w:szCs w:val="24"/>
          <w:lang w:eastAsia="el-GR"/>
        </w:rPr>
        <w:lastRenderedPageBreak/>
        <w:t xml:space="preserve">διαφορών, ανεξάρτητα από τυχόν μηχανικά μέσα κάλυψης αυτών ή ράμπες, εξετάζεται κατά προτεραιότητα η κατασκευή – δημιουργία κεκλιμένων επιπέδων – ραμπών, ενώ η επιλογή της βέλτιστης λύσης για την εξασφάλιση της </w:t>
      </w:r>
      <w:proofErr w:type="spellStart"/>
      <w:r w:rsidRPr="00D167A0">
        <w:rPr>
          <w:rFonts w:ascii="Times New Roman" w:eastAsia="Times New Roman" w:hAnsi="Times New Roman" w:cs="Times New Roman"/>
          <w:color w:val="333333"/>
          <w:sz w:val="24"/>
          <w:szCs w:val="24"/>
          <w:lang w:eastAsia="el-GR"/>
        </w:rPr>
        <w:t>προσβάσιμης</w:t>
      </w:r>
      <w:proofErr w:type="spellEnd"/>
      <w:r w:rsidRPr="00D167A0">
        <w:rPr>
          <w:rFonts w:ascii="Times New Roman" w:eastAsia="Times New Roman" w:hAnsi="Times New Roman" w:cs="Times New Roman"/>
          <w:color w:val="333333"/>
          <w:sz w:val="24"/>
          <w:szCs w:val="24"/>
          <w:lang w:eastAsia="el-GR"/>
        </w:rPr>
        <w:t xml:space="preserve"> κάθετης κυκλοφορίας (</w:t>
      </w:r>
      <w:r w:rsidRPr="00D167A0">
        <w:rPr>
          <w:rFonts w:ascii="Times New Roman" w:eastAsia="Times New Roman" w:hAnsi="Times New Roman" w:cs="Times New Roman"/>
          <w:b/>
          <w:bCs/>
          <w:color w:val="333333"/>
          <w:sz w:val="24"/>
          <w:szCs w:val="24"/>
          <w:lang w:eastAsia="el-GR"/>
        </w:rPr>
        <w:t>ράμπες, αναβατόρια κατακόρυφης κίνησης με πλατφόρμα, αναβατόρια κλίμακας με πλατφόρμα, αναβατόρια κλίμακας με κάθισμα, ανελκυστήρες) </w:t>
      </w:r>
      <w:r w:rsidRPr="00D167A0">
        <w:rPr>
          <w:rFonts w:ascii="Times New Roman" w:eastAsia="Times New Roman" w:hAnsi="Times New Roman" w:cs="Times New Roman"/>
          <w:color w:val="333333"/>
          <w:sz w:val="24"/>
          <w:szCs w:val="24"/>
          <w:lang w:eastAsia="el-GR"/>
        </w:rPr>
        <w:t>είναι στην ευθύνη του μελετητή και εξαρτάται από τις ιδιαιτερότητες του κτιρίου ανάλογα με τα χαρακτηριστικά της κάθε λύσης.</w:t>
      </w:r>
    </w:p>
    <w:p w14:paraId="7F89B5F6" w14:textId="77777777" w:rsidR="00D167A0" w:rsidRPr="00D167A0" w:rsidRDefault="00D167A0" w:rsidP="00CB218B">
      <w:pPr>
        <w:numPr>
          <w:ilvl w:val="0"/>
          <w:numId w:val="17"/>
        </w:numPr>
        <w:shd w:val="clear" w:color="auto" w:fill="FFFFFF"/>
        <w:tabs>
          <w:tab w:val="clear" w:pos="720"/>
          <w:tab w:val="left" w:pos="426"/>
          <w:tab w:val="left" w:pos="567"/>
          <w:tab w:val="num" w:pos="1418"/>
        </w:tabs>
        <w:spacing w:after="120" w:line="288" w:lineRule="auto"/>
        <w:ind w:left="284" w:right="326" w:firstLine="0"/>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 xml:space="preserve">Αναλύονται διεξοδικά οι μετατροπές και οι απαιτούμενες προδιαγραφές με τις παρεκκλίσεις τους κατά περίπτωση για τη δημιουργία χώρων υγιεινής, </w:t>
      </w:r>
      <w:proofErr w:type="spellStart"/>
      <w:r w:rsidRPr="00D167A0">
        <w:rPr>
          <w:rFonts w:ascii="Times New Roman" w:eastAsia="Times New Roman" w:hAnsi="Times New Roman" w:cs="Times New Roman"/>
          <w:color w:val="333333"/>
          <w:sz w:val="24"/>
          <w:szCs w:val="24"/>
          <w:lang w:eastAsia="el-GR"/>
        </w:rPr>
        <w:t>προσβάσιμων</w:t>
      </w:r>
      <w:proofErr w:type="spellEnd"/>
      <w:r w:rsidRPr="00D167A0">
        <w:rPr>
          <w:rFonts w:ascii="Times New Roman" w:eastAsia="Times New Roman" w:hAnsi="Times New Roman" w:cs="Times New Roman"/>
          <w:color w:val="333333"/>
          <w:sz w:val="24"/>
          <w:szCs w:val="24"/>
          <w:lang w:eastAsia="el-GR"/>
        </w:rPr>
        <w:t xml:space="preserve"> τουλάχιστον σε μέρος ατόμων με αναπηρία, </w:t>
      </w:r>
      <w:r w:rsidRPr="00D167A0">
        <w:rPr>
          <w:rFonts w:ascii="Times New Roman" w:eastAsia="Times New Roman" w:hAnsi="Times New Roman" w:cs="Times New Roman"/>
          <w:b/>
          <w:bCs/>
          <w:color w:val="333333"/>
          <w:sz w:val="24"/>
          <w:szCs w:val="24"/>
          <w:lang w:eastAsia="el-GR"/>
        </w:rPr>
        <w:t>σε υφιστάμενα και μόνον κτίρια.</w:t>
      </w:r>
    </w:p>
    <w:p w14:paraId="2559E20F" w14:textId="77777777" w:rsidR="00962409" w:rsidRDefault="00962409" w:rsidP="00D167A0">
      <w:pPr>
        <w:shd w:val="clear" w:color="auto" w:fill="FFFFFF"/>
        <w:tabs>
          <w:tab w:val="left" w:pos="426"/>
          <w:tab w:val="left" w:pos="567"/>
        </w:tabs>
        <w:spacing w:after="120" w:line="288" w:lineRule="auto"/>
        <w:ind w:left="284" w:right="326"/>
        <w:mirrorIndents/>
        <w:jc w:val="both"/>
        <w:rPr>
          <w:rFonts w:ascii="Times New Roman" w:eastAsia="Times New Roman" w:hAnsi="Times New Roman" w:cs="Times New Roman"/>
          <w:color w:val="333333"/>
          <w:sz w:val="24"/>
          <w:szCs w:val="24"/>
          <w:lang w:eastAsia="el-GR"/>
        </w:rPr>
      </w:pPr>
    </w:p>
    <w:p w14:paraId="6116A3AA" w14:textId="6A6AFC31" w:rsidR="00D167A0" w:rsidRPr="00D167A0" w:rsidRDefault="00D167A0" w:rsidP="00D167A0">
      <w:pPr>
        <w:shd w:val="clear" w:color="auto" w:fill="FFFFFF"/>
        <w:tabs>
          <w:tab w:val="left" w:pos="426"/>
          <w:tab w:val="left" w:pos="567"/>
        </w:tabs>
        <w:spacing w:after="120" w:line="288" w:lineRule="auto"/>
        <w:ind w:left="284" w:right="326"/>
        <w:mirrorIndents/>
        <w:jc w:val="both"/>
        <w:rPr>
          <w:rFonts w:ascii="Times New Roman" w:eastAsia="Times New Roman" w:hAnsi="Times New Roman" w:cs="Times New Roman"/>
          <w:color w:val="333333"/>
          <w:sz w:val="24"/>
          <w:szCs w:val="24"/>
          <w:lang w:eastAsia="el-GR"/>
        </w:rPr>
      </w:pPr>
      <w:r w:rsidRPr="00D167A0">
        <w:rPr>
          <w:rFonts w:ascii="Times New Roman" w:eastAsia="Times New Roman" w:hAnsi="Times New Roman" w:cs="Times New Roman"/>
          <w:color w:val="333333"/>
          <w:sz w:val="24"/>
          <w:szCs w:val="24"/>
          <w:lang w:eastAsia="el-GR"/>
        </w:rPr>
        <w:t xml:space="preserve">Ουσιαστικά η </w:t>
      </w:r>
      <w:r w:rsidRPr="00D167A0">
        <w:rPr>
          <w:rFonts w:ascii="Times New Roman" w:eastAsia="Times New Roman" w:hAnsi="Times New Roman" w:cs="Times New Roman"/>
          <w:b/>
          <w:color w:val="333333"/>
          <w:sz w:val="24"/>
          <w:szCs w:val="24"/>
          <w:lang w:eastAsia="el-GR"/>
        </w:rPr>
        <w:t xml:space="preserve">Μελέτη Προσβασιμότητας </w:t>
      </w:r>
      <w:r w:rsidRPr="00D167A0">
        <w:rPr>
          <w:rFonts w:ascii="Times New Roman" w:eastAsia="Times New Roman" w:hAnsi="Times New Roman" w:cs="Times New Roman"/>
          <w:color w:val="333333"/>
          <w:sz w:val="24"/>
          <w:szCs w:val="24"/>
          <w:lang w:eastAsia="el-GR"/>
        </w:rPr>
        <w:t xml:space="preserve">περιλαμβάνει την επίλυση των λειτουργικών, τεχνικών και μορφολογικών αντικειμένων ενός έργου, ώστε να διασφαλίζεται η οριζόντια και κατακόρυφη, ανεμπόδιστη, αυτόνομη και ασφαλής κίνηση ατόμων σε αναπηρικό </w:t>
      </w:r>
      <w:proofErr w:type="spellStart"/>
      <w:r w:rsidRPr="00D167A0">
        <w:rPr>
          <w:rFonts w:ascii="Times New Roman" w:eastAsia="Times New Roman" w:hAnsi="Times New Roman" w:cs="Times New Roman"/>
          <w:color w:val="333333"/>
          <w:sz w:val="24"/>
          <w:szCs w:val="24"/>
          <w:lang w:eastAsia="el-GR"/>
        </w:rPr>
        <w:t>αμαξίδιο</w:t>
      </w:r>
      <w:proofErr w:type="spellEnd"/>
      <w:r w:rsidRPr="00D167A0">
        <w:rPr>
          <w:rFonts w:ascii="Times New Roman" w:eastAsia="Times New Roman" w:hAnsi="Times New Roman" w:cs="Times New Roman"/>
          <w:color w:val="333333"/>
          <w:sz w:val="24"/>
          <w:szCs w:val="24"/>
          <w:lang w:eastAsia="el-GR"/>
        </w:rPr>
        <w:t xml:space="preserve"> ατόμων με αναπηρία και εμποδιζόμενων ατόμων και αποτελεί μέρος της Αρχιτεκτονικής Μελέτης για κάθε νέο έργο και νέα μελέτη για κάθε υφιστάμενο κτίριο ή υπαίθριο δημόσιο χώρο το οποίο προσαρμόζεται ώστε να καταστεί </w:t>
      </w:r>
      <w:proofErr w:type="spellStart"/>
      <w:r w:rsidRPr="00D167A0">
        <w:rPr>
          <w:rFonts w:ascii="Times New Roman" w:eastAsia="Times New Roman" w:hAnsi="Times New Roman" w:cs="Times New Roman"/>
          <w:color w:val="333333"/>
          <w:sz w:val="24"/>
          <w:szCs w:val="24"/>
          <w:lang w:eastAsia="el-GR"/>
        </w:rPr>
        <w:t>προσβάσιμο</w:t>
      </w:r>
      <w:proofErr w:type="spellEnd"/>
      <w:r w:rsidRPr="00D167A0">
        <w:rPr>
          <w:rFonts w:ascii="Times New Roman" w:eastAsia="Times New Roman" w:hAnsi="Times New Roman" w:cs="Times New Roman"/>
          <w:color w:val="333333"/>
          <w:sz w:val="24"/>
          <w:szCs w:val="24"/>
          <w:lang w:eastAsia="el-GR"/>
        </w:rPr>
        <w:t xml:space="preserve">. Η </w:t>
      </w:r>
      <w:r w:rsidRPr="00D167A0">
        <w:rPr>
          <w:rFonts w:ascii="Times New Roman" w:eastAsia="Times New Roman" w:hAnsi="Times New Roman" w:cs="Times New Roman"/>
          <w:b/>
          <w:color w:val="333333"/>
          <w:sz w:val="24"/>
          <w:szCs w:val="24"/>
          <w:lang w:eastAsia="el-GR"/>
        </w:rPr>
        <w:t>«Μελέτη Προσβασιμότητας Κτιριακού Έργου»</w:t>
      </w:r>
      <w:r w:rsidRPr="00D167A0">
        <w:rPr>
          <w:rFonts w:ascii="Times New Roman" w:eastAsia="Times New Roman" w:hAnsi="Times New Roman" w:cs="Times New Roman"/>
          <w:color w:val="333333"/>
          <w:sz w:val="24"/>
          <w:szCs w:val="24"/>
          <w:lang w:eastAsia="el-GR"/>
        </w:rPr>
        <w:t xml:space="preserve"> αφορά στο κτίριο και τον περιβάλλοντα χώρο του και περιλαμβάνει τεχνική έκθεση, σχέδιο περιβάλλοντος χώρου, σχέδια κατόψεων και τομών και κατασκευαστικές λεπτομέρειες.</w:t>
      </w:r>
    </w:p>
    <w:p w14:paraId="3C918FFE" w14:textId="77777777" w:rsidR="00D167A0" w:rsidRPr="00D167A0" w:rsidRDefault="00D167A0" w:rsidP="00D167A0">
      <w:pPr>
        <w:pStyle w:val="Web"/>
        <w:shd w:val="clear" w:color="auto" w:fill="FFFFFF" w:themeFill="background1"/>
        <w:spacing w:after="120" w:line="288" w:lineRule="auto"/>
        <w:ind w:left="284" w:right="326"/>
        <w:mirrorIndents/>
        <w:jc w:val="both"/>
        <w:rPr>
          <w:color w:val="252525"/>
        </w:rPr>
      </w:pPr>
      <w:r w:rsidRPr="00D167A0">
        <w:rPr>
          <w:rStyle w:val="a8"/>
          <w:rFonts w:eastAsiaTheme="majorEastAsia"/>
          <w:color w:val="252525"/>
        </w:rPr>
        <w:t>Αναφορικά με τα υφιστάμενα κτίρια, οι απαιτούμενες διαμορφώσεις</w:t>
      </w:r>
      <w:r w:rsidRPr="00D167A0">
        <w:rPr>
          <w:color w:val="252525"/>
        </w:rPr>
        <w:t xml:space="preserve"> εκτελούνται μετά από έκδοση </w:t>
      </w:r>
      <w:r w:rsidRPr="00D167A0">
        <w:rPr>
          <w:rStyle w:val="a8"/>
          <w:rFonts w:eastAsiaTheme="majorEastAsia"/>
          <w:color w:val="252525"/>
        </w:rPr>
        <w:t>έγκρισης εργασιών δόμησης μικρής κλίμακας,</w:t>
      </w:r>
      <w:r w:rsidRPr="00D167A0">
        <w:rPr>
          <w:color w:val="252525"/>
        </w:rPr>
        <w:t xml:space="preserve"> ανεξαρτήτως προϋπολογισμού του έργου. </w:t>
      </w:r>
    </w:p>
    <w:p w14:paraId="374DD7F1" w14:textId="77777777" w:rsidR="00D167A0" w:rsidRPr="00D167A0" w:rsidRDefault="00D167A0" w:rsidP="00D167A0">
      <w:pPr>
        <w:pStyle w:val="Web"/>
        <w:shd w:val="clear" w:color="auto" w:fill="FFFFFF" w:themeFill="background1"/>
        <w:spacing w:after="120" w:line="288" w:lineRule="auto"/>
        <w:ind w:left="284" w:right="326"/>
        <w:mirrorIndents/>
        <w:jc w:val="both"/>
        <w:rPr>
          <w:color w:val="252525"/>
        </w:rPr>
      </w:pPr>
      <w:r w:rsidRPr="00D167A0">
        <w:rPr>
          <w:color w:val="252525"/>
        </w:rPr>
        <w:t xml:space="preserve">Περαιτέρω </w:t>
      </w:r>
      <w:r w:rsidRPr="00D167A0">
        <w:rPr>
          <w:b/>
          <w:color w:val="252525"/>
        </w:rPr>
        <w:t>σε νομίμως υφιστάμενα κτίρια που δεν διαθέτουν ανελκυστήρα</w:t>
      </w:r>
      <w:r w:rsidRPr="00D167A0">
        <w:rPr>
          <w:color w:val="252525"/>
        </w:rPr>
        <w:t xml:space="preserve"> και κατά τον χρόνο ανέγερσης τους  δεν ήταν υποχρεωτική η κατασκευή του, επιτρέπεται, κατά παρέκκλιση των ισχυουσών διατάξεων και των ειδικών όρων δόμησης της περιοχής, κατασκευή ανελκυστήρα ή άλλων μηχανικών μέσων κάλυψης υψομετρικών διαφορών και του χώρου πρόσβασης σε αυτά, με απαραίτητη προϋπόθεση τη σύνταξη ή ενημέρωση της Ταυτότητας Κτιρίου. </w:t>
      </w:r>
      <w:r w:rsidRPr="00D167A0">
        <w:rPr>
          <w:b/>
          <w:color w:val="252525"/>
        </w:rPr>
        <w:t xml:space="preserve">Ειδικά για τις περιπτώσεις κτιρίων του Δημοσίου ή κτιρίων με χρήση τις αναφερόμενες της παρ.1 της περίπτωσης Β του παρόντος (εκτός </w:t>
      </w:r>
      <w:proofErr w:type="spellStart"/>
      <w:r w:rsidRPr="00D167A0">
        <w:rPr>
          <w:b/>
          <w:color w:val="252525"/>
        </w:rPr>
        <w:t>απο</w:t>
      </w:r>
      <w:proofErr w:type="spellEnd"/>
      <w:r w:rsidRPr="00D167A0">
        <w:rPr>
          <w:b/>
          <w:color w:val="252525"/>
        </w:rPr>
        <w:t xml:space="preserve"> κατοικία), για τις οποίες απαιτείται η κατασκευή ανελκυστήρα ή άλλων μηχανικών μέσων κάλυψης υψομετρικών διαφορών και του χώρου πρόσβασης σε αυτά, η κατασκευή αυτών είναι υποχρεωτική, χωρίς τη συναίνεση της πλειοψηφίας των συνιδιοκτητών με δαπάνες του υπόχρεου ή των υπόχρεων κατά παρέκκλιση του κανονισμού, συμπεριλαμβανομένου του κανονισμού πολυκατοικίας. </w:t>
      </w:r>
      <w:r w:rsidRPr="00D167A0">
        <w:rPr>
          <w:color w:val="252525"/>
        </w:rPr>
        <w:t xml:space="preserve">Στις λοιπές περιπτώσεις, που δεν είναι υποχρεωτική η </w:t>
      </w:r>
      <w:r w:rsidRPr="00D167A0">
        <w:rPr>
          <w:color w:val="252525"/>
        </w:rPr>
        <w:lastRenderedPageBreak/>
        <w:t>προσαρμογή του κτιρίου, είναι δυνατή η κατασκευή ανελκυστήρα, χωρίς τη συναίνεση της πλειοψηφίας των συνιδιοκτητών, μόνο κατόπιν αιτιολογημένης γνωμοδότησης της Κεντρικής Επιτροπής Προσβασιμότητας του άρθρου 19 του ν. 4495/2017, που εκδίδεται κατόπιν σχετικής αίτησης του ενδιαφερόμενου ιδιοκτήτη, συνοδευόμενης από αποδεδειγμένη πρόσκληση των λοιπών συνιδιοκτητών προς διατύπωση απόψεων προς την Κεντρική Επιτροπή Προσβασιμότητας. Στις περιπτώσεις κτιρίων κατοικίας που δεν διασφαλίζουν προσβασιμότητα σε άτομα με αναπηρία και μειωμένη κινητικότητα, επιτρέπεται, κατά παρέκκλιση κάθε διάταξης, κανονισμού, συμπεριλαμβανομένου του κανονισμού πολυκατοικίας, η τοποθέτηση διάταξης (ράμπας ή αναβατορίου), που διασφαλίζει την πρόσβαση στα άτομα αυτά από το πεζοδρόμιο στους εξωτερικούς κοινόχρηστους χώρους, καθώς και στους λοιπούς εσωτερικούς κοινόχρηστους χώρους του ισογείου και των λοιπών ορόφων υπέρ και υπό αυτό, εφόσον διαμένουν ως ιδιοκτήτες ή ένοικοι στα παραπάνω κτίρια, με απαραίτητη προϋπόθεση την εξασφάλιση της ασφάλειας των χρηστών, τη σύνταξη ή ενημέρωση της Ταυτότητας Κτιρίου και την κάλυψη των εξόδων κατασκευής από τα ενδιαφερόμενα άτομα.</w:t>
      </w:r>
    </w:p>
    <w:p w14:paraId="40621C21" w14:textId="77777777" w:rsidR="00D167A0" w:rsidRPr="00D167A0" w:rsidRDefault="00D167A0" w:rsidP="00D167A0">
      <w:pPr>
        <w:pStyle w:val="Web"/>
        <w:shd w:val="clear" w:color="auto" w:fill="FFFFFF" w:themeFill="background1"/>
        <w:spacing w:after="120" w:line="288" w:lineRule="auto"/>
        <w:ind w:left="284" w:right="326"/>
        <w:mirrorIndents/>
        <w:jc w:val="both"/>
        <w:rPr>
          <w:b/>
          <w:color w:val="252525"/>
        </w:rPr>
      </w:pPr>
      <w:r w:rsidRPr="00D167A0">
        <w:rPr>
          <w:rStyle w:val="a8"/>
          <w:rFonts w:eastAsiaTheme="majorEastAsia"/>
          <w:color w:val="252525"/>
        </w:rPr>
        <w:t>Τέλος,  </w:t>
      </w:r>
      <w:r w:rsidRPr="00D167A0">
        <w:rPr>
          <w:b/>
          <w:color w:val="252525"/>
        </w:rPr>
        <w:t xml:space="preserve">υφιστάμενα κτίρια με χρήσεις εμπορίου και γραφείων, εκτός των κτιρίων που στεγάζουν γραφεία υπηρεσιών του δημόσιου και ευρύτερου δημόσιου φορέα, νομικών προσώπων δημοσίου δικαίου, νομικών προσώπων ιδιωτικού δικαίου, οργανισμών τοπικής αυτοδιοίκησης πρώτης και δεύτερης βαθμίδας, καθώς και καταστήματα υγειονομικού ενδιαφέροντος με ανάπτυγμα </w:t>
      </w:r>
      <w:proofErr w:type="spellStart"/>
      <w:r w:rsidRPr="00D167A0">
        <w:rPr>
          <w:b/>
          <w:color w:val="252525"/>
        </w:rPr>
        <w:t>τραπεζοκαθισμάτων</w:t>
      </w:r>
      <w:proofErr w:type="spellEnd"/>
      <w:r w:rsidRPr="00D167A0">
        <w:rPr>
          <w:b/>
          <w:color w:val="252525"/>
        </w:rPr>
        <w:t xml:space="preserve"> στον εσωτερικό ή εξωτερικό χώρο, με μικτό εμβαδόν μικρότερο από εκατό (100) τ.μ. μπορούν να εξαιρεθούν από την υποχρέωση δημιουργίας </w:t>
      </w:r>
      <w:proofErr w:type="spellStart"/>
      <w:r w:rsidRPr="00D167A0">
        <w:rPr>
          <w:b/>
          <w:color w:val="252525"/>
        </w:rPr>
        <w:t>προσβάσιμων</w:t>
      </w:r>
      <w:proofErr w:type="spellEnd"/>
      <w:r w:rsidRPr="00D167A0">
        <w:rPr>
          <w:b/>
          <w:color w:val="252525"/>
        </w:rPr>
        <w:t xml:space="preserve"> χώρων υγιεινής για το κοινό, εφόσον αυτό προκαλεί δυσανάλογη επιβάρυνση στους ιδιοκτήτες τους.</w:t>
      </w:r>
    </w:p>
    <w:p w14:paraId="2A47EA31" w14:textId="77777777" w:rsidR="00D167A0" w:rsidRDefault="00D167A0" w:rsidP="00B1396B">
      <w:pPr>
        <w:spacing w:after="120" w:line="276" w:lineRule="auto"/>
        <w:ind w:left="284" w:right="284"/>
        <w:jc w:val="both"/>
        <w:rPr>
          <w:rFonts w:ascii="Times New Roman" w:hAnsi="Times New Roman" w:cs="Times New Roman"/>
        </w:rPr>
      </w:pPr>
    </w:p>
    <w:p w14:paraId="170512C2" w14:textId="77777777" w:rsidR="00D167A0" w:rsidRDefault="00D167A0" w:rsidP="00B1396B">
      <w:pPr>
        <w:spacing w:after="120" w:line="276" w:lineRule="auto"/>
        <w:ind w:left="284" w:right="284"/>
        <w:jc w:val="both"/>
        <w:rPr>
          <w:rFonts w:ascii="Times New Roman" w:hAnsi="Times New Roman" w:cs="Times New Roman"/>
        </w:rPr>
      </w:pPr>
    </w:p>
    <w:p w14:paraId="18711DD0" w14:textId="0A738F90" w:rsidR="007A2688" w:rsidRDefault="007A2688" w:rsidP="00B1396B">
      <w:pPr>
        <w:spacing w:after="120" w:line="276" w:lineRule="auto"/>
        <w:ind w:left="284" w:right="284"/>
        <w:jc w:val="both"/>
        <w:rPr>
          <w:rFonts w:ascii="Times New Roman" w:hAnsi="Times New Roman" w:cs="Times New Roman"/>
        </w:rPr>
      </w:pPr>
    </w:p>
    <w:p w14:paraId="0E5743A2" w14:textId="357A2979" w:rsidR="007A2688" w:rsidRDefault="007A2688" w:rsidP="00B1396B">
      <w:pPr>
        <w:spacing w:after="120" w:line="276" w:lineRule="auto"/>
        <w:ind w:left="284" w:right="284"/>
        <w:jc w:val="both"/>
        <w:rPr>
          <w:rFonts w:ascii="Times New Roman" w:hAnsi="Times New Roman" w:cs="Times New Roman"/>
        </w:rPr>
      </w:pPr>
    </w:p>
    <w:p w14:paraId="2A95D928" w14:textId="4A760AE7" w:rsidR="007A2688" w:rsidRDefault="007A2688" w:rsidP="00B1396B">
      <w:pPr>
        <w:spacing w:after="120" w:line="276" w:lineRule="auto"/>
        <w:ind w:left="284" w:right="284"/>
        <w:jc w:val="both"/>
        <w:rPr>
          <w:rFonts w:ascii="Times New Roman" w:hAnsi="Times New Roman" w:cs="Times New Roman"/>
        </w:rPr>
      </w:pPr>
    </w:p>
    <w:p w14:paraId="2D8D199C" w14:textId="425BABFC" w:rsidR="007A2688" w:rsidRDefault="007A2688" w:rsidP="00B1396B">
      <w:pPr>
        <w:spacing w:after="120" w:line="276" w:lineRule="auto"/>
        <w:ind w:left="284" w:right="284"/>
        <w:jc w:val="both"/>
        <w:rPr>
          <w:rFonts w:ascii="Times New Roman" w:hAnsi="Times New Roman" w:cs="Times New Roman"/>
        </w:rPr>
      </w:pPr>
    </w:p>
    <w:p w14:paraId="51E1B57E" w14:textId="04EF6EE2" w:rsidR="007A2688" w:rsidRDefault="007A2688" w:rsidP="00B1396B">
      <w:pPr>
        <w:spacing w:after="120" w:line="276" w:lineRule="auto"/>
        <w:ind w:left="284" w:right="284"/>
        <w:jc w:val="both"/>
        <w:rPr>
          <w:rFonts w:ascii="Times New Roman" w:hAnsi="Times New Roman" w:cs="Times New Roman"/>
        </w:rPr>
      </w:pPr>
    </w:p>
    <w:p w14:paraId="707D8A92" w14:textId="4D7AC958" w:rsidR="007A2688" w:rsidRDefault="007A2688" w:rsidP="00B1396B">
      <w:pPr>
        <w:spacing w:after="120" w:line="276" w:lineRule="auto"/>
        <w:ind w:left="284" w:right="284"/>
        <w:jc w:val="both"/>
        <w:rPr>
          <w:rFonts w:ascii="Times New Roman" w:hAnsi="Times New Roman" w:cs="Times New Roman"/>
        </w:rPr>
      </w:pPr>
    </w:p>
    <w:p w14:paraId="7A8B0510" w14:textId="1A528349" w:rsidR="007A2688" w:rsidRDefault="007A2688" w:rsidP="00B1396B">
      <w:pPr>
        <w:spacing w:after="120" w:line="276" w:lineRule="auto"/>
        <w:ind w:left="284" w:right="284"/>
        <w:jc w:val="both"/>
        <w:rPr>
          <w:rFonts w:ascii="Times New Roman" w:hAnsi="Times New Roman" w:cs="Times New Roman"/>
        </w:rPr>
      </w:pPr>
    </w:p>
    <w:p w14:paraId="6A8350B9" w14:textId="41747562" w:rsidR="007A2688" w:rsidRDefault="007A2688" w:rsidP="00B1396B">
      <w:pPr>
        <w:spacing w:after="120" w:line="276" w:lineRule="auto"/>
        <w:ind w:left="284" w:right="284"/>
        <w:jc w:val="both"/>
        <w:rPr>
          <w:rFonts w:ascii="Times New Roman" w:hAnsi="Times New Roman" w:cs="Times New Roman"/>
        </w:rPr>
      </w:pPr>
    </w:p>
    <w:p w14:paraId="2BC80AE4" w14:textId="742A9905" w:rsidR="007A2688" w:rsidRDefault="007A2688" w:rsidP="00B1396B">
      <w:pPr>
        <w:spacing w:after="120" w:line="276" w:lineRule="auto"/>
        <w:ind w:left="284" w:right="284"/>
        <w:jc w:val="both"/>
        <w:rPr>
          <w:rFonts w:ascii="Times New Roman" w:hAnsi="Times New Roman" w:cs="Times New Roman"/>
        </w:rPr>
      </w:pPr>
    </w:p>
    <w:p w14:paraId="213D5851" w14:textId="354EFF83" w:rsidR="007A2688" w:rsidRDefault="007A2688" w:rsidP="00B1396B">
      <w:pPr>
        <w:spacing w:after="120" w:line="276" w:lineRule="auto"/>
        <w:ind w:left="284" w:right="284"/>
        <w:jc w:val="both"/>
        <w:rPr>
          <w:rFonts w:ascii="Times New Roman" w:hAnsi="Times New Roman" w:cs="Times New Roman"/>
        </w:rPr>
      </w:pPr>
    </w:p>
    <w:p w14:paraId="040771DF" w14:textId="77777777" w:rsidR="002E4BB0" w:rsidRPr="002E4BB0" w:rsidRDefault="002E4BB0" w:rsidP="002E4BB0">
      <w:pPr>
        <w:pStyle w:val="10"/>
        <w:numPr>
          <w:ilvl w:val="8"/>
          <w:numId w:val="9"/>
        </w:numPr>
        <w:shd w:val="clear" w:color="auto" w:fill="D9E2F3" w:themeFill="accent1" w:themeFillTint="33"/>
        <w:spacing w:before="240" w:after="120" w:line="288" w:lineRule="auto"/>
        <w:ind w:left="284" w:right="326" w:firstLine="0"/>
        <w:jc w:val="center"/>
        <w:rPr>
          <w:rFonts w:asciiTheme="majorBidi" w:hAnsiTheme="majorBidi" w:cstheme="majorBidi"/>
        </w:rPr>
      </w:pPr>
      <w:bookmarkStart w:id="7" w:name="_Toc121300673"/>
      <w:bookmarkStart w:id="8" w:name="_Toc122093598"/>
      <w:r w:rsidRPr="002E4BB0">
        <w:rPr>
          <w:rFonts w:asciiTheme="majorBidi" w:hAnsiTheme="majorBidi" w:cstheme="majorBidi"/>
        </w:rPr>
        <w:lastRenderedPageBreak/>
        <w:t>ΘΕΜΑΤΑ ΑΝΑΠΤΥΞΗΣ ΑΝΘΡΩΠΙΝΟΥ ΔΥΝΑΜΙΚΟΥ</w:t>
      </w:r>
      <w:bookmarkEnd w:id="7"/>
      <w:bookmarkEnd w:id="8"/>
    </w:p>
    <w:p w14:paraId="2CA82D97" w14:textId="77777777" w:rsidR="002E4BB0" w:rsidRPr="002E4BB0" w:rsidRDefault="002E4BB0" w:rsidP="002E4BB0">
      <w:pPr>
        <w:pStyle w:val="20"/>
        <w:shd w:val="clear" w:color="auto" w:fill="D9D9D9" w:themeFill="background1" w:themeFillShade="D9"/>
        <w:spacing w:before="0" w:after="240" w:line="288" w:lineRule="auto"/>
        <w:ind w:left="284" w:right="323"/>
        <w:jc w:val="center"/>
        <w:rPr>
          <w:rFonts w:ascii="Times New Roman" w:hAnsi="Times New Roman" w:cs="Times New Roman"/>
          <w:b/>
          <w:bCs/>
          <w:color w:val="auto"/>
          <w:sz w:val="24"/>
          <w:szCs w:val="24"/>
        </w:rPr>
      </w:pPr>
      <w:bookmarkStart w:id="9" w:name="_Toc121300674"/>
      <w:bookmarkStart w:id="10" w:name="_Toc122093599"/>
      <w:r w:rsidRPr="002E4BB0">
        <w:rPr>
          <w:rFonts w:ascii="Times New Roman" w:hAnsi="Times New Roman" w:cs="Times New Roman"/>
          <w:b/>
          <w:bCs/>
          <w:color w:val="auto"/>
          <w:sz w:val="24"/>
          <w:szCs w:val="24"/>
        </w:rPr>
        <w:t>Α. «Θετική Ηγεσία» σε οργανισμούς και δημόσιους φορείς</w:t>
      </w:r>
      <w:bookmarkEnd w:id="9"/>
      <w:bookmarkEnd w:id="10"/>
    </w:p>
    <w:p w14:paraId="4AE9BF74" w14:textId="77777777" w:rsidR="002E4BB0" w:rsidRPr="00CB218B" w:rsidRDefault="002E4BB0" w:rsidP="00CB218B">
      <w:pPr>
        <w:spacing w:after="120"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Οι οργανισμοί και οι δημόσιοι φορείς για να παράγουν αποτέλεσμα χρειάζονται τα στελέχη τους να λειτουργούν υπό καθοδήγηση πραγματικών ηγετών. </w:t>
      </w:r>
      <w:r w:rsidRPr="00CB218B">
        <w:rPr>
          <w:rFonts w:ascii="Times New Roman" w:hAnsi="Times New Roman" w:cs="Times New Roman"/>
          <w:b/>
          <w:bCs/>
          <w:sz w:val="24"/>
          <w:szCs w:val="24"/>
        </w:rPr>
        <w:t>Η συναισθηματική νοημοσύνη</w:t>
      </w:r>
      <w:r w:rsidRPr="00CB218B">
        <w:rPr>
          <w:rFonts w:ascii="Times New Roman" w:hAnsi="Times New Roman" w:cs="Times New Roman"/>
          <w:sz w:val="24"/>
          <w:szCs w:val="24"/>
        </w:rPr>
        <w:t xml:space="preserve"> επηρεάζει σημαντικά την ικανότητα των διευθυντών, τμηματαρχών, προϊσταμένων τμημάτων και όλων εκείνων που στην ιεραρχία έχουν ομάδες υπαλλήλων στελεχών στο να είναι αποτελεσματικοί στους ρόλους τους. </w:t>
      </w:r>
    </w:p>
    <w:p w14:paraId="0462AC49" w14:textId="77777777" w:rsidR="002E4BB0" w:rsidRPr="00CB218B" w:rsidRDefault="002E4BB0" w:rsidP="00CB218B">
      <w:pPr>
        <w:spacing w:after="120"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Είναι γνωστό από σχετικές έρευνες ότι ένα αυθεντικό στυλ ηγεσίας χαρακτηρίζεται από παράγοντες όπως η αυτογνωσία, η διαφάνεια σχέσεων, η αίσθηση ηθικής και ακεραιότητας , η δικαιοσύνη  και στο να είναι κάποιος ανοιχτόμυαλος. Σύμφωνα με τους ειδικούς της συναισθηματικής νοημοσύνης </w:t>
      </w:r>
      <w:r w:rsidRPr="00CB218B">
        <w:rPr>
          <w:rFonts w:ascii="Times New Roman" w:hAnsi="Times New Roman" w:cs="Times New Roman"/>
          <w:b/>
          <w:bCs/>
          <w:sz w:val="24"/>
          <w:szCs w:val="24"/>
        </w:rPr>
        <w:t>τα βασικά χαρακτηριστικά ηγέτη</w:t>
      </w:r>
      <w:r w:rsidRPr="00CB218B">
        <w:rPr>
          <w:rFonts w:ascii="Times New Roman" w:hAnsi="Times New Roman" w:cs="Times New Roman"/>
          <w:sz w:val="24"/>
          <w:szCs w:val="24"/>
        </w:rPr>
        <w:t xml:space="preserve"> σε κάποια μοντέλα ηγεσίας είναι: </w:t>
      </w:r>
    </w:p>
    <w:p w14:paraId="58780DF0" w14:textId="77777777" w:rsidR="002E4BB0" w:rsidRPr="00CB218B" w:rsidRDefault="002E4BB0" w:rsidP="00CB218B">
      <w:pPr>
        <w:spacing w:after="120" w:line="288" w:lineRule="auto"/>
        <w:ind w:left="284" w:right="323"/>
        <w:jc w:val="both"/>
        <w:rPr>
          <w:rFonts w:ascii="Times New Roman" w:hAnsi="Times New Roman" w:cs="Times New Roman"/>
          <w:sz w:val="24"/>
          <w:szCs w:val="24"/>
        </w:rPr>
      </w:pPr>
      <w:r w:rsidRPr="00CB218B">
        <w:rPr>
          <w:rFonts w:ascii="Times New Roman" w:hAnsi="Times New Roman" w:cs="Times New Roman"/>
          <w:b/>
          <w:bCs/>
          <w:sz w:val="24"/>
          <w:szCs w:val="24"/>
        </w:rPr>
        <w:t>1. Οραματιστές ηγέτες</w:t>
      </w:r>
      <w:r w:rsidRPr="00CB218B">
        <w:rPr>
          <w:rFonts w:ascii="Times New Roman" w:hAnsi="Times New Roman" w:cs="Times New Roman"/>
          <w:sz w:val="24"/>
          <w:szCs w:val="24"/>
        </w:rPr>
        <w:t xml:space="preserve"> – έχουν ένα φιλόδοξο όραμα και εμπνέουν άλλους να το επιδιώξουν.</w:t>
      </w:r>
    </w:p>
    <w:p w14:paraId="10BB8A7B" w14:textId="77777777" w:rsidR="002E4BB0" w:rsidRPr="00CB218B" w:rsidRDefault="002E4BB0" w:rsidP="00CB218B">
      <w:pPr>
        <w:spacing w:after="120" w:line="288" w:lineRule="auto"/>
        <w:ind w:left="284" w:right="323"/>
        <w:jc w:val="both"/>
        <w:rPr>
          <w:rFonts w:ascii="Times New Roman" w:hAnsi="Times New Roman" w:cs="Times New Roman"/>
          <w:sz w:val="24"/>
          <w:szCs w:val="24"/>
        </w:rPr>
      </w:pPr>
      <w:r w:rsidRPr="00CB218B">
        <w:rPr>
          <w:rFonts w:ascii="Times New Roman" w:hAnsi="Times New Roman" w:cs="Times New Roman"/>
          <w:b/>
          <w:bCs/>
          <w:sz w:val="24"/>
          <w:szCs w:val="24"/>
        </w:rPr>
        <w:t xml:space="preserve">2. </w:t>
      </w:r>
      <w:proofErr w:type="spellStart"/>
      <w:r w:rsidRPr="00CB218B">
        <w:rPr>
          <w:rFonts w:ascii="Times New Roman" w:hAnsi="Times New Roman" w:cs="Times New Roman"/>
          <w:b/>
          <w:bCs/>
          <w:sz w:val="24"/>
          <w:szCs w:val="24"/>
        </w:rPr>
        <w:t>Coaching</w:t>
      </w:r>
      <w:proofErr w:type="spellEnd"/>
      <w:r w:rsidRPr="00CB218B">
        <w:rPr>
          <w:rFonts w:ascii="Times New Roman" w:hAnsi="Times New Roman" w:cs="Times New Roman"/>
          <w:b/>
          <w:bCs/>
          <w:sz w:val="24"/>
          <w:szCs w:val="24"/>
        </w:rPr>
        <w:t xml:space="preserve"> ηγέτες</w:t>
      </w:r>
      <w:r w:rsidRPr="00CB218B">
        <w:rPr>
          <w:rFonts w:ascii="Times New Roman" w:hAnsi="Times New Roman" w:cs="Times New Roman"/>
          <w:sz w:val="24"/>
          <w:szCs w:val="24"/>
        </w:rPr>
        <w:t xml:space="preserve"> – ξέρουν πώς να εξελιχθούν περαιτέρω και να αξιοποιήσουν το καλύτερο από τους γύρω τους, και συνήθως κάνουν ακριβώς αυτό.</w:t>
      </w:r>
    </w:p>
    <w:p w14:paraId="05BC3F71" w14:textId="77777777" w:rsidR="002E4BB0" w:rsidRPr="00CB218B" w:rsidRDefault="002E4BB0" w:rsidP="00CB218B">
      <w:pPr>
        <w:spacing w:after="120" w:line="288" w:lineRule="auto"/>
        <w:ind w:left="284" w:right="323"/>
        <w:jc w:val="both"/>
        <w:rPr>
          <w:rFonts w:ascii="Times New Roman" w:hAnsi="Times New Roman" w:cs="Times New Roman"/>
          <w:sz w:val="24"/>
          <w:szCs w:val="24"/>
        </w:rPr>
      </w:pPr>
      <w:r w:rsidRPr="00CB218B">
        <w:rPr>
          <w:rFonts w:ascii="Times New Roman" w:hAnsi="Times New Roman" w:cs="Times New Roman"/>
          <w:b/>
          <w:bCs/>
          <w:sz w:val="24"/>
          <w:szCs w:val="24"/>
        </w:rPr>
        <w:t xml:space="preserve">3. </w:t>
      </w:r>
      <w:proofErr w:type="spellStart"/>
      <w:r w:rsidRPr="00CB218B">
        <w:rPr>
          <w:rFonts w:ascii="Times New Roman" w:hAnsi="Times New Roman" w:cs="Times New Roman"/>
          <w:b/>
          <w:bCs/>
          <w:sz w:val="24"/>
          <w:szCs w:val="24"/>
        </w:rPr>
        <w:t>Affiliative</w:t>
      </w:r>
      <w:proofErr w:type="spellEnd"/>
      <w:r w:rsidRPr="00CB218B">
        <w:rPr>
          <w:rFonts w:ascii="Times New Roman" w:hAnsi="Times New Roman" w:cs="Times New Roman"/>
          <w:b/>
          <w:bCs/>
          <w:sz w:val="24"/>
          <w:szCs w:val="24"/>
        </w:rPr>
        <w:t xml:space="preserve"> ηγέτες</w:t>
      </w:r>
      <w:r w:rsidRPr="00CB218B">
        <w:rPr>
          <w:rFonts w:ascii="Times New Roman" w:hAnsi="Times New Roman" w:cs="Times New Roman"/>
          <w:sz w:val="24"/>
          <w:szCs w:val="24"/>
        </w:rPr>
        <w:t xml:space="preserve"> – είναι έμπειροι στην εφαρμογή και την ενίσχυση του θετικού συναισθήματος στο χώρο εργασίας και μπορούν να φέρουν αρμονία και επίλυση συγκρούσεων σε μια ομάδα.</w:t>
      </w:r>
    </w:p>
    <w:p w14:paraId="21DA92B7" w14:textId="77777777" w:rsidR="002E4BB0" w:rsidRPr="00CB218B" w:rsidRDefault="002E4BB0" w:rsidP="00CB218B">
      <w:pPr>
        <w:spacing w:after="120" w:line="288" w:lineRule="auto"/>
        <w:ind w:left="284" w:right="323"/>
        <w:jc w:val="both"/>
        <w:rPr>
          <w:rFonts w:ascii="Times New Roman" w:hAnsi="Times New Roman" w:cs="Times New Roman"/>
          <w:sz w:val="24"/>
          <w:szCs w:val="24"/>
        </w:rPr>
      </w:pPr>
      <w:r w:rsidRPr="00CB218B">
        <w:rPr>
          <w:rFonts w:ascii="Times New Roman" w:hAnsi="Times New Roman" w:cs="Times New Roman"/>
          <w:b/>
          <w:bCs/>
          <w:sz w:val="24"/>
          <w:szCs w:val="24"/>
        </w:rPr>
        <w:t>4. Συναινετικοί (ή Δημοκρατικοί) ηγέτες</w:t>
      </w:r>
      <w:r w:rsidRPr="00CB218B">
        <w:rPr>
          <w:rFonts w:ascii="Times New Roman" w:hAnsi="Times New Roman" w:cs="Times New Roman"/>
          <w:sz w:val="24"/>
          <w:szCs w:val="24"/>
        </w:rPr>
        <w:t xml:space="preserve"> – ευδοκιμούν στη συνεργασία, συγκεντρώνοντας μια ποικιλία απόψεων για τη συλλογή πληροφοριών και τη λήψη αποφάσεων</w:t>
      </w:r>
    </w:p>
    <w:p w14:paraId="593B46F4" w14:textId="77777777" w:rsidR="002E4BB0" w:rsidRPr="00CB218B" w:rsidRDefault="002E4BB0" w:rsidP="00CB218B">
      <w:pPr>
        <w:spacing w:after="120"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Τα πιο αποτελεσματικά στελέχη είναι </w:t>
      </w:r>
      <w:r w:rsidRPr="00CB218B">
        <w:rPr>
          <w:rFonts w:ascii="Times New Roman" w:hAnsi="Times New Roman" w:cs="Times New Roman"/>
          <w:b/>
          <w:bCs/>
          <w:sz w:val="24"/>
          <w:szCs w:val="24"/>
        </w:rPr>
        <w:t>ευέλικτα</w:t>
      </w:r>
      <w:r w:rsidRPr="00CB218B">
        <w:rPr>
          <w:rFonts w:ascii="Times New Roman" w:hAnsi="Times New Roman" w:cs="Times New Roman"/>
          <w:sz w:val="24"/>
          <w:szCs w:val="24"/>
        </w:rPr>
        <w:t xml:space="preserve"> και  χρησιμοποιούν ένα μείγμα  από αυτά τα στυλ ηγεσίας – </w:t>
      </w:r>
      <w:r w:rsidRPr="00CB218B">
        <w:rPr>
          <w:rFonts w:ascii="Times New Roman" w:hAnsi="Times New Roman" w:cs="Times New Roman"/>
          <w:b/>
          <w:bCs/>
          <w:sz w:val="24"/>
          <w:szCs w:val="24"/>
        </w:rPr>
        <w:t>το καθένα στο σωστό μέτρο και στη σωστή στιγμή</w:t>
      </w:r>
      <w:r w:rsidRPr="00CB218B">
        <w:rPr>
          <w:rFonts w:ascii="Times New Roman" w:hAnsi="Times New Roman" w:cs="Times New Roman"/>
          <w:sz w:val="24"/>
          <w:szCs w:val="24"/>
        </w:rPr>
        <w:t>. Αυτή η ευελιξία μπορεί να διδαχθεί στα στελέχη και να γίνει κτήμα τους έτοιμη προς εφαρμογή.</w:t>
      </w:r>
    </w:p>
    <w:p w14:paraId="521DDBA0" w14:textId="77777777" w:rsidR="002E4BB0" w:rsidRPr="00CB218B" w:rsidRDefault="002E4BB0" w:rsidP="00CB218B">
      <w:pPr>
        <w:spacing w:after="120"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Όλα τα είδη Ηγεσίας περιέχουν το συναίσθημα, την κατανόηση και τη διαχείριση του άρα και </w:t>
      </w:r>
      <w:r w:rsidRPr="00CB218B">
        <w:rPr>
          <w:rFonts w:ascii="Times New Roman" w:hAnsi="Times New Roman" w:cs="Times New Roman"/>
          <w:b/>
          <w:bCs/>
          <w:sz w:val="24"/>
          <w:szCs w:val="24"/>
        </w:rPr>
        <w:t>τη συναισθηματική νοημοσύνη</w:t>
      </w:r>
      <w:r w:rsidRPr="00CB218B">
        <w:rPr>
          <w:rFonts w:ascii="Times New Roman" w:hAnsi="Times New Roman" w:cs="Times New Roman"/>
          <w:sz w:val="24"/>
          <w:szCs w:val="24"/>
        </w:rPr>
        <w:t xml:space="preserve"> η οποία έχει να κάνει με την κατανόηση του εαυτού μας και την ανάπτυξη της προσωπικής ικανότητας να είμαστε σε θέση να αναγνωρίζουμε, να διαχειριζόμαστε και να εκφράζουμε τα συναισθήματά μας αποτελεσματικά καθώς και την ανάπτυξη της κοινωνικής ικανότητας </w:t>
      </w:r>
      <w:r w:rsidRPr="00CB218B">
        <w:rPr>
          <w:rFonts w:ascii="Times New Roman" w:hAnsi="Times New Roman" w:cs="Times New Roman"/>
          <w:b/>
          <w:bCs/>
          <w:sz w:val="24"/>
          <w:szCs w:val="24"/>
        </w:rPr>
        <w:t>για τον αποτελεσματικό χειρισμό των ανθρώπων της ομάδας μας</w:t>
      </w:r>
      <w:r w:rsidRPr="00CB218B">
        <w:rPr>
          <w:rFonts w:ascii="Times New Roman" w:hAnsi="Times New Roman" w:cs="Times New Roman"/>
          <w:sz w:val="24"/>
          <w:szCs w:val="24"/>
        </w:rPr>
        <w:t>.</w:t>
      </w:r>
    </w:p>
    <w:p w14:paraId="5E7F72EC" w14:textId="77777777" w:rsidR="002E4BB0" w:rsidRPr="00CB218B" w:rsidRDefault="002E4BB0" w:rsidP="00CB218B">
      <w:pPr>
        <w:spacing w:after="120"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Η συναισθηματική νοημοσύνη είναι επίσης </w:t>
      </w:r>
      <w:r w:rsidRPr="00CB218B">
        <w:rPr>
          <w:rFonts w:ascii="Times New Roman" w:hAnsi="Times New Roman" w:cs="Times New Roman"/>
          <w:b/>
          <w:bCs/>
          <w:sz w:val="24"/>
          <w:szCs w:val="24"/>
        </w:rPr>
        <w:t>το θεμελιώδες κομμάτι για τη βελτίωση άλλων ηγετικών ικανοτήτων</w:t>
      </w:r>
      <w:r w:rsidRPr="00CB218B">
        <w:rPr>
          <w:rFonts w:ascii="Times New Roman" w:hAnsi="Times New Roman" w:cs="Times New Roman"/>
          <w:sz w:val="24"/>
          <w:szCs w:val="24"/>
        </w:rPr>
        <w:t>, όπως η επικοινωνία, η διαχείριση αλλαγών, η διαχείριση συγκρούσεων και η λήψη αποφάσεων και η βάση για την «Θετική Ηγεσία».</w:t>
      </w:r>
    </w:p>
    <w:p w14:paraId="5A68B3DB" w14:textId="77777777" w:rsidR="002E4BB0" w:rsidRPr="00CB218B" w:rsidRDefault="002E4BB0" w:rsidP="00CB218B">
      <w:pPr>
        <w:spacing w:after="120"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lastRenderedPageBreak/>
        <w:t xml:space="preserve">Στο επίκεντρο λοιπόν της ηγεσίας βρίσκεται </w:t>
      </w:r>
      <w:r w:rsidRPr="00CB218B">
        <w:rPr>
          <w:rFonts w:ascii="Times New Roman" w:hAnsi="Times New Roman" w:cs="Times New Roman"/>
          <w:b/>
          <w:bCs/>
          <w:sz w:val="24"/>
          <w:szCs w:val="24"/>
        </w:rPr>
        <w:t>η διαχείριση των σχέσεων</w:t>
      </w:r>
      <w:r w:rsidRPr="00CB218B">
        <w:rPr>
          <w:rFonts w:ascii="Times New Roman" w:hAnsi="Times New Roman" w:cs="Times New Roman"/>
          <w:sz w:val="24"/>
          <w:szCs w:val="24"/>
        </w:rPr>
        <w:t xml:space="preserve"> και η συναισθηματική νοημοσύνη είναι αυτό που επιτρέπει στους διευθυντές να υλοποιούν με επιτυχία αυτές τις διαπροσωπικές σχέσεις.</w:t>
      </w:r>
    </w:p>
    <w:p w14:paraId="7DC8B684" w14:textId="77777777" w:rsidR="002E4BB0" w:rsidRPr="00CB218B" w:rsidRDefault="002E4BB0" w:rsidP="00CB218B">
      <w:pPr>
        <w:spacing w:after="120"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Οι ηγέτες έχουν </w:t>
      </w:r>
      <w:r w:rsidRPr="00CB218B">
        <w:rPr>
          <w:rFonts w:ascii="Times New Roman" w:hAnsi="Times New Roman" w:cs="Times New Roman"/>
          <w:b/>
          <w:bCs/>
          <w:sz w:val="24"/>
          <w:szCs w:val="24"/>
        </w:rPr>
        <w:t>άμεση επιρροή στην κουλτούρα της ομάδας τους και στο εργασιακό τους περιβάλλον</w:t>
      </w:r>
      <w:r w:rsidRPr="00CB218B">
        <w:rPr>
          <w:rFonts w:ascii="Times New Roman" w:hAnsi="Times New Roman" w:cs="Times New Roman"/>
          <w:sz w:val="24"/>
          <w:szCs w:val="24"/>
        </w:rPr>
        <w:t xml:space="preserve">, επομένως ο ρόλος που παίζει η συναισθηματική τους νοημοσύνη στην επίτευξη της </w:t>
      </w:r>
      <w:proofErr w:type="spellStart"/>
      <w:r w:rsidRPr="00CB218B">
        <w:rPr>
          <w:rFonts w:ascii="Times New Roman" w:hAnsi="Times New Roman" w:cs="Times New Roman"/>
          <w:sz w:val="24"/>
          <w:szCs w:val="24"/>
        </w:rPr>
        <w:t>οργανωσιακής</w:t>
      </w:r>
      <w:proofErr w:type="spellEnd"/>
      <w:r w:rsidRPr="00CB218B">
        <w:rPr>
          <w:rFonts w:ascii="Times New Roman" w:hAnsi="Times New Roman" w:cs="Times New Roman"/>
          <w:sz w:val="24"/>
          <w:szCs w:val="24"/>
        </w:rPr>
        <w:t xml:space="preserve"> αποτελεσματικότητας είναι σημαντικός.</w:t>
      </w:r>
    </w:p>
    <w:p w14:paraId="180EDD9E" w14:textId="77777777" w:rsidR="002E4BB0" w:rsidRPr="00CB218B" w:rsidRDefault="002E4BB0" w:rsidP="00CB218B">
      <w:pPr>
        <w:spacing w:after="120"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Όλα αυτά οδηγούν  στο «</w:t>
      </w:r>
      <w:r w:rsidRPr="00CB218B">
        <w:rPr>
          <w:rFonts w:ascii="Times New Roman" w:hAnsi="Times New Roman" w:cs="Times New Roman"/>
          <w:b/>
          <w:bCs/>
          <w:sz w:val="24"/>
          <w:szCs w:val="24"/>
        </w:rPr>
        <w:t>Θετικό στυλ Ηγεσίας</w:t>
      </w:r>
      <w:r w:rsidRPr="00CB218B">
        <w:rPr>
          <w:rFonts w:ascii="Times New Roman" w:hAnsi="Times New Roman" w:cs="Times New Roman"/>
          <w:sz w:val="24"/>
          <w:szCs w:val="24"/>
        </w:rPr>
        <w:t>» το οποίο χαρακτηρίζεται από:</w:t>
      </w:r>
    </w:p>
    <w:p w14:paraId="0D58AD06" w14:textId="2E8C28EF" w:rsidR="002E4BB0" w:rsidRPr="00CB218B" w:rsidRDefault="002E4BB0" w:rsidP="00C114D1">
      <w:pPr>
        <w:spacing w:after="120" w:line="288" w:lineRule="auto"/>
        <w:ind w:left="567" w:right="323" w:hanging="283"/>
        <w:jc w:val="both"/>
        <w:rPr>
          <w:rFonts w:ascii="Times New Roman" w:hAnsi="Times New Roman" w:cs="Times New Roman"/>
          <w:sz w:val="24"/>
          <w:szCs w:val="24"/>
        </w:rPr>
      </w:pPr>
      <w:r w:rsidRPr="00CB218B">
        <w:rPr>
          <w:rFonts w:ascii="Times New Roman" w:hAnsi="Times New Roman" w:cs="Times New Roman"/>
          <w:b/>
          <w:bCs/>
          <w:sz w:val="24"/>
          <w:szCs w:val="24"/>
        </w:rPr>
        <w:t xml:space="preserve">• </w:t>
      </w:r>
      <w:r w:rsidR="00C114D1">
        <w:rPr>
          <w:rFonts w:ascii="Times New Roman" w:hAnsi="Times New Roman" w:cs="Times New Roman"/>
          <w:b/>
          <w:bCs/>
          <w:sz w:val="24"/>
          <w:szCs w:val="24"/>
        </w:rPr>
        <w:tab/>
      </w:r>
      <w:r w:rsidRPr="00CB218B">
        <w:rPr>
          <w:rFonts w:ascii="Times New Roman" w:hAnsi="Times New Roman" w:cs="Times New Roman"/>
          <w:b/>
          <w:bCs/>
          <w:sz w:val="24"/>
          <w:szCs w:val="24"/>
        </w:rPr>
        <w:t>Εξιδανικευμένη επιρροή:</w:t>
      </w:r>
      <w:r w:rsidRPr="00CB218B">
        <w:rPr>
          <w:rFonts w:ascii="Times New Roman" w:hAnsi="Times New Roman" w:cs="Times New Roman"/>
          <w:sz w:val="24"/>
          <w:szCs w:val="24"/>
        </w:rPr>
        <w:t xml:space="preserve"> ο ηγέτης είναι αρεστός και σεβαστός από τα στελέχη της ομάδας του και λειτουργεί ως πρότυπο.</w:t>
      </w:r>
    </w:p>
    <w:p w14:paraId="1DF2829E" w14:textId="520B31B0" w:rsidR="002E4BB0" w:rsidRPr="00CB218B" w:rsidRDefault="002E4BB0" w:rsidP="00C114D1">
      <w:pPr>
        <w:spacing w:after="120" w:line="288" w:lineRule="auto"/>
        <w:ind w:left="567" w:right="323" w:hanging="283"/>
        <w:jc w:val="both"/>
        <w:rPr>
          <w:rFonts w:ascii="Times New Roman" w:hAnsi="Times New Roman" w:cs="Times New Roman"/>
          <w:sz w:val="24"/>
          <w:szCs w:val="24"/>
        </w:rPr>
      </w:pPr>
      <w:r w:rsidRPr="00CB218B">
        <w:rPr>
          <w:rFonts w:ascii="Times New Roman" w:hAnsi="Times New Roman" w:cs="Times New Roman"/>
          <w:b/>
          <w:bCs/>
          <w:sz w:val="24"/>
          <w:szCs w:val="24"/>
        </w:rPr>
        <w:t xml:space="preserve">• </w:t>
      </w:r>
      <w:r w:rsidR="00C114D1">
        <w:rPr>
          <w:rFonts w:ascii="Times New Roman" w:hAnsi="Times New Roman" w:cs="Times New Roman"/>
          <w:b/>
          <w:bCs/>
          <w:sz w:val="24"/>
          <w:szCs w:val="24"/>
        </w:rPr>
        <w:tab/>
      </w:r>
      <w:r w:rsidRPr="00CB218B">
        <w:rPr>
          <w:rFonts w:ascii="Times New Roman" w:hAnsi="Times New Roman" w:cs="Times New Roman"/>
          <w:b/>
          <w:bCs/>
          <w:sz w:val="24"/>
          <w:szCs w:val="24"/>
        </w:rPr>
        <w:t>Εμπνευσμένο κίνητρο:</w:t>
      </w:r>
      <w:r w:rsidRPr="00CB218B">
        <w:rPr>
          <w:rFonts w:ascii="Times New Roman" w:hAnsi="Times New Roman" w:cs="Times New Roman"/>
          <w:sz w:val="24"/>
          <w:szCs w:val="24"/>
        </w:rPr>
        <w:t xml:space="preserve"> ο ηγέτης τους παρακινεί και τους εμπνέει.</w:t>
      </w:r>
    </w:p>
    <w:p w14:paraId="7B89AD27" w14:textId="127E171D" w:rsidR="002E4BB0" w:rsidRPr="00CB218B" w:rsidRDefault="002E4BB0" w:rsidP="00C114D1">
      <w:pPr>
        <w:spacing w:after="120" w:line="288" w:lineRule="auto"/>
        <w:ind w:left="567" w:right="323" w:hanging="283"/>
        <w:jc w:val="both"/>
        <w:rPr>
          <w:rFonts w:ascii="Times New Roman" w:hAnsi="Times New Roman" w:cs="Times New Roman"/>
          <w:sz w:val="24"/>
          <w:szCs w:val="24"/>
        </w:rPr>
      </w:pPr>
      <w:r w:rsidRPr="00CB218B">
        <w:rPr>
          <w:rFonts w:ascii="Times New Roman" w:hAnsi="Times New Roman" w:cs="Times New Roman"/>
          <w:b/>
          <w:bCs/>
          <w:sz w:val="24"/>
          <w:szCs w:val="24"/>
        </w:rPr>
        <w:t xml:space="preserve">• </w:t>
      </w:r>
      <w:r w:rsidR="00C114D1">
        <w:rPr>
          <w:rFonts w:ascii="Times New Roman" w:hAnsi="Times New Roman" w:cs="Times New Roman"/>
          <w:b/>
          <w:bCs/>
          <w:sz w:val="24"/>
          <w:szCs w:val="24"/>
        </w:rPr>
        <w:tab/>
      </w:r>
      <w:r w:rsidRPr="00CB218B">
        <w:rPr>
          <w:rFonts w:ascii="Times New Roman" w:hAnsi="Times New Roman" w:cs="Times New Roman"/>
          <w:b/>
          <w:bCs/>
          <w:sz w:val="24"/>
          <w:szCs w:val="24"/>
        </w:rPr>
        <w:t>Διανοητική διέγερση:</w:t>
      </w:r>
      <w:r w:rsidRPr="00CB218B">
        <w:rPr>
          <w:rFonts w:ascii="Times New Roman" w:hAnsi="Times New Roman" w:cs="Times New Roman"/>
          <w:sz w:val="24"/>
          <w:szCs w:val="24"/>
        </w:rPr>
        <w:t xml:space="preserve"> ο ηγέτης προωθεί τη δημιουργικότητα και την καινοτομία μέσω της ανοιχτής σκέψης και της μη απειλητικής αμφισβήτησης των ιδεών.</w:t>
      </w:r>
    </w:p>
    <w:p w14:paraId="6BC4B57D" w14:textId="0A4975C6" w:rsidR="002E4BB0" w:rsidRPr="00CB218B" w:rsidRDefault="002E4BB0" w:rsidP="00C114D1">
      <w:pPr>
        <w:spacing w:after="120" w:line="288" w:lineRule="auto"/>
        <w:ind w:left="567" w:right="323" w:hanging="283"/>
        <w:jc w:val="both"/>
        <w:rPr>
          <w:rFonts w:ascii="Times New Roman" w:hAnsi="Times New Roman" w:cs="Times New Roman"/>
          <w:sz w:val="24"/>
          <w:szCs w:val="24"/>
        </w:rPr>
      </w:pPr>
      <w:r w:rsidRPr="00CB218B">
        <w:rPr>
          <w:rFonts w:ascii="Times New Roman" w:hAnsi="Times New Roman" w:cs="Times New Roman"/>
          <w:b/>
          <w:bCs/>
          <w:sz w:val="24"/>
          <w:szCs w:val="24"/>
        </w:rPr>
        <w:t xml:space="preserve">• </w:t>
      </w:r>
      <w:r w:rsidR="00C114D1">
        <w:rPr>
          <w:rFonts w:ascii="Times New Roman" w:hAnsi="Times New Roman" w:cs="Times New Roman"/>
          <w:b/>
          <w:bCs/>
          <w:sz w:val="24"/>
          <w:szCs w:val="24"/>
        </w:rPr>
        <w:tab/>
      </w:r>
      <w:r w:rsidRPr="00CB218B">
        <w:rPr>
          <w:rFonts w:ascii="Times New Roman" w:hAnsi="Times New Roman" w:cs="Times New Roman"/>
          <w:b/>
          <w:bCs/>
          <w:sz w:val="24"/>
          <w:szCs w:val="24"/>
        </w:rPr>
        <w:t>Εξατομικευμένη εκτίμηση:</w:t>
      </w:r>
      <w:r w:rsidRPr="00CB218B">
        <w:rPr>
          <w:rFonts w:ascii="Times New Roman" w:hAnsi="Times New Roman" w:cs="Times New Roman"/>
          <w:sz w:val="24"/>
          <w:szCs w:val="24"/>
        </w:rPr>
        <w:t xml:space="preserve"> ο ηγέτης αντιμετωπίζει κάθε στέλεχος ως μοναδικό άτομο με μοναδικά δυνατά σημεία, αδυναμίες και ανάγκες.</w:t>
      </w:r>
    </w:p>
    <w:p w14:paraId="74737438" w14:textId="3F37F649" w:rsidR="002E4BB0" w:rsidRDefault="002E4BB0" w:rsidP="00CB218B">
      <w:pPr>
        <w:spacing w:after="120" w:line="288" w:lineRule="auto"/>
        <w:ind w:left="284" w:right="323"/>
        <w:jc w:val="both"/>
        <w:rPr>
          <w:rFonts w:ascii="Times New Roman" w:hAnsi="Times New Roman" w:cs="Times New Roman"/>
          <w:sz w:val="24"/>
          <w:szCs w:val="24"/>
        </w:rPr>
      </w:pPr>
      <w:r w:rsidRPr="00CB218B">
        <w:rPr>
          <w:rFonts w:ascii="Times New Roman" w:hAnsi="Times New Roman" w:cs="Times New Roman"/>
          <w:sz w:val="24"/>
          <w:szCs w:val="24"/>
        </w:rPr>
        <w:t xml:space="preserve">Δίνοντας έμφαση στην αξία της κατανόησης και στην αξία της ανάπτυξης της «Θετικής Ηγεσίας», όλα τα παραπάνω </w:t>
      </w:r>
      <w:r w:rsidRPr="00CB218B">
        <w:rPr>
          <w:rFonts w:ascii="Times New Roman" w:hAnsi="Times New Roman" w:cs="Times New Roman"/>
          <w:b/>
          <w:bCs/>
          <w:sz w:val="24"/>
          <w:szCs w:val="24"/>
        </w:rPr>
        <w:t>διδάσκονται με κατάλληλες μεθοδολογίες</w:t>
      </w:r>
      <w:r w:rsidRPr="00CB218B">
        <w:rPr>
          <w:rFonts w:ascii="Times New Roman" w:hAnsi="Times New Roman" w:cs="Times New Roman"/>
          <w:sz w:val="24"/>
          <w:szCs w:val="24"/>
        </w:rPr>
        <w:t xml:space="preserve"> στα στελέχη τα οποία θέλουν πραγματικά να κάνουν την διαφορά με τις ομάδες τους και θα πρέπει να ενταχθούν </w:t>
      </w:r>
      <w:r w:rsidRPr="00CB218B">
        <w:rPr>
          <w:rFonts w:ascii="Times New Roman" w:hAnsi="Times New Roman" w:cs="Times New Roman"/>
          <w:b/>
          <w:bCs/>
          <w:sz w:val="24"/>
          <w:szCs w:val="24"/>
        </w:rPr>
        <w:t>σε ειδικά προγράμματα εκπαίδευσης και ανάπτυξης θετικών ηγετών</w:t>
      </w:r>
      <w:r w:rsidRPr="00CB218B">
        <w:rPr>
          <w:rFonts w:ascii="Times New Roman" w:hAnsi="Times New Roman" w:cs="Times New Roman"/>
          <w:sz w:val="24"/>
          <w:szCs w:val="24"/>
        </w:rPr>
        <w:t>.</w:t>
      </w:r>
    </w:p>
    <w:p w14:paraId="60F021B0" w14:textId="2906905E" w:rsidR="00C114D1" w:rsidRDefault="00C114D1" w:rsidP="00CB218B">
      <w:pPr>
        <w:spacing w:after="120" w:line="288" w:lineRule="auto"/>
        <w:ind w:left="284" w:right="323"/>
        <w:jc w:val="both"/>
        <w:rPr>
          <w:rFonts w:ascii="Times New Roman" w:hAnsi="Times New Roman" w:cs="Times New Roman"/>
          <w:sz w:val="24"/>
          <w:szCs w:val="24"/>
        </w:rPr>
      </w:pPr>
    </w:p>
    <w:p w14:paraId="7BDD4155" w14:textId="72205C40" w:rsidR="00C114D1" w:rsidRDefault="00C114D1" w:rsidP="00CB218B">
      <w:pPr>
        <w:spacing w:after="120" w:line="288" w:lineRule="auto"/>
        <w:ind w:left="284" w:right="323"/>
        <w:jc w:val="both"/>
        <w:rPr>
          <w:rFonts w:ascii="Times New Roman" w:hAnsi="Times New Roman" w:cs="Times New Roman"/>
          <w:sz w:val="24"/>
          <w:szCs w:val="24"/>
        </w:rPr>
      </w:pPr>
    </w:p>
    <w:p w14:paraId="5E80058C" w14:textId="7061C743" w:rsidR="00C114D1" w:rsidRDefault="00C114D1" w:rsidP="00CB218B">
      <w:pPr>
        <w:spacing w:after="120" w:line="288" w:lineRule="auto"/>
        <w:ind w:left="284" w:right="323"/>
        <w:jc w:val="both"/>
        <w:rPr>
          <w:rFonts w:ascii="Times New Roman" w:hAnsi="Times New Roman" w:cs="Times New Roman"/>
          <w:sz w:val="24"/>
          <w:szCs w:val="24"/>
        </w:rPr>
      </w:pPr>
    </w:p>
    <w:p w14:paraId="72265BC2" w14:textId="449B1C95" w:rsidR="00C114D1" w:rsidRDefault="00C114D1" w:rsidP="00CB218B">
      <w:pPr>
        <w:spacing w:after="120" w:line="288" w:lineRule="auto"/>
        <w:ind w:left="284" w:right="323"/>
        <w:jc w:val="both"/>
        <w:rPr>
          <w:rFonts w:ascii="Times New Roman" w:hAnsi="Times New Roman" w:cs="Times New Roman"/>
          <w:sz w:val="24"/>
          <w:szCs w:val="24"/>
        </w:rPr>
      </w:pPr>
    </w:p>
    <w:p w14:paraId="0DA46AC1" w14:textId="77A033CB" w:rsidR="00C114D1" w:rsidRDefault="00C114D1" w:rsidP="00CB218B">
      <w:pPr>
        <w:spacing w:after="120" w:line="288" w:lineRule="auto"/>
        <w:ind w:left="284" w:right="323"/>
        <w:jc w:val="both"/>
        <w:rPr>
          <w:rFonts w:ascii="Times New Roman" w:hAnsi="Times New Roman" w:cs="Times New Roman"/>
          <w:sz w:val="24"/>
          <w:szCs w:val="24"/>
        </w:rPr>
      </w:pPr>
    </w:p>
    <w:p w14:paraId="57EFF01A" w14:textId="2ADAEAF1" w:rsidR="00C114D1" w:rsidRDefault="00C114D1" w:rsidP="00CB218B">
      <w:pPr>
        <w:spacing w:after="120" w:line="288" w:lineRule="auto"/>
        <w:ind w:left="284" w:right="323"/>
        <w:jc w:val="both"/>
        <w:rPr>
          <w:rFonts w:ascii="Times New Roman" w:hAnsi="Times New Roman" w:cs="Times New Roman"/>
          <w:sz w:val="24"/>
          <w:szCs w:val="24"/>
        </w:rPr>
      </w:pPr>
    </w:p>
    <w:p w14:paraId="2B73DCB2" w14:textId="16E65489" w:rsidR="00C114D1" w:rsidRDefault="00C114D1" w:rsidP="00CB218B">
      <w:pPr>
        <w:spacing w:after="120" w:line="288" w:lineRule="auto"/>
        <w:ind w:left="284" w:right="323"/>
        <w:jc w:val="both"/>
        <w:rPr>
          <w:rFonts w:ascii="Times New Roman" w:hAnsi="Times New Roman" w:cs="Times New Roman"/>
          <w:sz w:val="24"/>
          <w:szCs w:val="24"/>
        </w:rPr>
      </w:pPr>
    </w:p>
    <w:p w14:paraId="1D45C445" w14:textId="18873CE5" w:rsidR="00C114D1" w:rsidRDefault="00C114D1" w:rsidP="00CB218B">
      <w:pPr>
        <w:spacing w:after="120" w:line="288" w:lineRule="auto"/>
        <w:ind w:left="284" w:right="323"/>
        <w:jc w:val="both"/>
        <w:rPr>
          <w:rFonts w:ascii="Times New Roman" w:hAnsi="Times New Roman" w:cs="Times New Roman"/>
          <w:sz w:val="24"/>
          <w:szCs w:val="24"/>
        </w:rPr>
      </w:pPr>
    </w:p>
    <w:p w14:paraId="1737EF04" w14:textId="57D92D6A" w:rsidR="00C114D1" w:rsidRDefault="00C114D1" w:rsidP="00CB218B">
      <w:pPr>
        <w:spacing w:after="120" w:line="288" w:lineRule="auto"/>
        <w:ind w:left="284" w:right="323"/>
        <w:jc w:val="both"/>
        <w:rPr>
          <w:rFonts w:ascii="Times New Roman" w:hAnsi="Times New Roman" w:cs="Times New Roman"/>
          <w:sz w:val="24"/>
          <w:szCs w:val="24"/>
        </w:rPr>
      </w:pPr>
    </w:p>
    <w:p w14:paraId="41B027DB" w14:textId="77777777" w:rsidR="00C114D1" w:rsidRDefault="00C114D1" w:rsidP="00CB218B">
      <w:pPr>
        <w:spacing w:after="120" w:line="288" w:lineRule="auto"/>
        <w:ind w:left="284" w:right="323"/>
        <w:jc w:val="both"/>
        <w:rPr>
          <w:rFonts w:ascii="Times New Roman" w:hAnsi="Times New Roman" w:cs="Times New Roman"/>
          <w:sz w:val="24"/>
          <w:szCs w:val="24"/>
        </w:rPr>
      </w:pPr>
    </w:p>
    <w:p w14:paraId="627B41BC" w14:textId="77777777" w:rsidR="00C114D1" w:rsidRPr="00C114D1" w:rsidRDefault="00C114D1" w:rsidP="00C114D1">
      <w:pPr>
        <w:pStyle w:val="10"/>
        <w:numPr>
          <w:ilvl w:val="8"/>
          <w:numId w:val="9"/>
        </w:numPr>
        <w:shd w:val="clear" w:color="auto" w:fill="D9E2F3" w:themeFill="accent1" w:themeFillTint="33"/>
        <w:spacing w:before="240" w:after="120" w:line="288" w:lineRule="auto"/>
        <w:ind w:left="284" w:right="326" w:firstLine="0"/>
        <w:jc w:val="center"/>
        <w:rPr>
          <w:rFonts w:asciiTheme="majorBidi" w:hAnsiTheme="majorBidi" w:cstheme="majorBidi"/>
        </w:rPr>
      </w:pPr>
      <w:bookmarkStart w:id="11" w:name="_Toc122093600"/>
      <w:r w:rsidRPr="00C114D1">
        <w:rPr>
          <w:rFonts w:asciiTheme="majorBidi" w:hAnsiTheme="majorBidi" w:cstheme="majorBidi"/>
        </w:rPr>
        <w:lastRenderedPageBreak/>
        <w:t>ΘΕΜΑΤΑ ΥΓΕΙΑΣ &amp; ΑΣΦΑΛΕΙΑΣ ΣΤΗΝ ΕΡΓΑΣΙΑ</w:t>
      </w:r>
      <w:bookmarkEnd w:id="11"/>
    </w:p>
    <w:p w14:paraId="7C102953" w14:textId="494EAD93" w:rsidR="00C114D1" w:rsidRPr="00C114D1" w:rsidRDefault="00C114D1" w:rsidP="00C114D1">
      <w:pPr>
        <w:pStyle w:val="20"/>
        <w:shd w:val="clear" w:color="auto" w:fill="D9D9D9" w:themeFill="background1" w:themeFillShade="D9"/>
        <w:spacing w:before="0" w:after="240" w:line="288" w:lineRule="auto"/>
        <w:ind w:left="284" w:right="323"/>
        <w:jc w:val="center"/>
        <w:rPr>
          <w:rFonts w:ascii="Times New Roman" w:hAnsi="Times New Roman" w:cs="Times New Roman"/>
          <w:b/>
          <w:bCs/>
          <w:color w:val="auto"/>
          <w:sz w:val="24"/>
          <w:szCs w:val="24"/>
        </w:rPr>
      </w:pPr>
      <w:bookmarkStart w:id="12" w:name="_Toc122093601"/>
      <w:r>
        <w:rPr>
          <w:rFonts w:ascii="Times New Roman" w:hAnsi="Times New Roman" w:cs="Times New Roman"/>
          <w:b/>
          <w:bCs/>
          <w:color w:val="auto"/>
          <w:sz w:val="24"/>
          <w:szCs w:val="24"/>
        </w:rPr>
        <w:t xml:space="preserve">Α. </w:t>
      </w:r>
      <w:r w:rsidRPr="00C114D1">
        <w:rPr>
          <w:rFonts w:ascii="Times New Roman" w:hAnsi="Times New Roman" w:cs="Times New Roman"/>
          <w:b/>
          <w:bCs/>
          <w:color w:val="auto"/>
          <w:sz w:val="24"/>
          <w:szCs w:val="24"/>
        </w:rPr>
        <w:t>Χειρισμός μηχανημάτων έργου: νέες ρυθμίσεις για την άσκηση επαγγελματικής δραστηριότητας.</w:t>
      </w:r>
      <w:bookmarkEnd w:id="12"/>
    </w:p>
    <w:p w14:paraId="130E5283" w14:textId="77777777" w:rsidR="00C114D1" w:rsidRPr="00C114D1" w:rsidRDefault="00C114D1" w:rsidP="00C114D1">
      <w:pPr>
        <w:spacing w:after="120" w:line="288" w:lineRule="auto"/>
        <w:ind w:left="284" w:right="259"/>
        <w:jc w:val="both"/>
        <w:rPr>
          <w:rFonts w:ascii="Times New Roman" w:hAnsi="Times New Roman" w:cs="Times New Roman"/>
          <w:b/>
          <w:bCs/>
          <w:sz w:val="24"/>
          <w:szCs w:val="24"/>
          <w:lang w:eastAsia="el-GR"/>
        </w:rPr>
      </w:pPr>
      <w:r w:rsidRPr="00C114D1">
        <w:rPr>
          <w:rFonts w:ascii="Times New Roman" w:hAnsi="Times New Roman" w:cs="Times New Roman"/>
          <w:sz w:val="24"/>
          <w:szCs w:val="24"/>
          <w:lang w:eastAsia="el-GR"/>
        </w:rPr>
        <w:t xml:space="preserve">Δημοσιεύθηκε </w:t>
      </w:r>
      <w:r w:rsidRPr="00C114D1">
        <w:rPr>
          <w:rFonts w:ascii="Times New Roman" w:hAnsi="Times New Roman" w:cs="Times New Roman"/>
          <w:sz w:val="24"/>
          <w:szCs w:val="24"/>
          <w:lang w:val="en-US" w:eastAsia="el-GR"/>
        </w:rPr>
        <w:t>o</w:t>
      </w:r>
      <w:r w:rsidRPr="00C114D1">
        <w:rPr>
          <w:rFonts w:ascii="Times New Roman" w:hAnsi="Times New Roman" w:cs="Times New Roman"/>
          <w:sz w:val="24"/>
          <w:szCs w:val="24"/>
          <w:lang w:eastAsia="el-GR"/>
        </w:rPr>
        <w:t xml:space="preserve"> Νόμος 4982/2022, ο οποίος με το άρθρο 74 «Χειρισμός Μηχανημάτων Έργου» προσθέτει στον προγενέστερο Νόμο 3982/2011 το άρθρο 4Β </w:t>
      </w:r>
      <w:r w:rsidRPr="00C114D1">
        <w:rPr>
          <w:rFonts w:ascii="Times New Roman" w:hAnsi="Times New Roman" w:cs="Times New Roman"/>
          <w:b/>
          <w:bCs/>
          <w:sz w:val="24"/>
          <w:szCs w:val="24"/>
          <w:lang w:eastAsia="el-GR"/>
        </w:rPr>
        <w:t>«Άσκηση επαγγελματικής δραστηριότητας χειρισμού Μηχανημάτων Έργου»</w:t>
      </w:r>
    </w:p>
    <w:p w14:paraId="27801AB9" w14:textId="77777777" w:rsidR="00C114D1" w:rsidRPr="00C114D1" w:rsidRDefault="00C114D1" w:rsidP="00C114D1">
      <w:pPr>
        <w:spacing w:after="120" w:line="288" w:lineRule="auto"/>
        <w:ind w:left="284" w:right="259"/>
        <w:jc w:val="both"/>
        <w:rPr>
          <w:rFonts w:ascii="Times New Roman" w:hAnsi="Times New Roman" w:cs="Times New Roman"/>
          <w:sz w:val="24"/>
          <w:szCs w:val="24"/>
          <w:lang w:eastAsia="el-GR"/>
        </w:rPr>
      </w:pPr>
      <w:r w:rsidRPr="00C114D1">
        <w:rPr>
          <w:rFonts w:ascii="Times New Roman" w:hAnsi="Times New Roman" w:cs="Times New Roman"/>
          <w:sz w:val="24"/>
          <w:szCs w:val="24"/>
          <w:lang w:eastAsia="el-GR"/>
        </w:rPr>
        <w:t>Σύμφωνα με το άρθρο αυτό, γίνονται οι παρακάτω ρυθμίσεις:</w:t>
      </w:r>
    </w:p>
    <w:p w14:paraId="788DE858" w14:textId="77777777" w:rsidR="00C114D1" w:rsidRPr="00C114D1" w:rsidRDefault="00C114D1" w:rsidP="00C114D1">
      <w:pPr>
        <w:numPr>
          <w:ilvl w:val="0"/>
          <w:numId w:val="21"/>
        </w:numPr>
        <w:spacing w:after="120" w:line="288" w:lineRule="auto"/>
        <w:ind w:left="709" w:right="259" w:hanging="283"/>
        <w:jc w:val="both"/>
        <w:rPr>
          <w:rFonts w:ascii="Times New Roman" w:hAnsi="Times New Roman" w:cs="Times New Roman"/>
          <w:b/>
          <w:bCs/>
          <w:sz w:val="24"/>
          <w:szCs w:val="24"/>
          <w:u w:val="single"/>
          <w:lang w:eastAsia="el-GR"/>
        </w:rPr>
      </w:pPr>
      <w:r w:rsidRPr="00C114D1">
        <w:rPr>
          <w:rFonts w:ascii="Times New Roman" w:hAnsi="Times New Roman" w:cs="Times New Roman"/>
          <w:sz w:val="24"/>
          <w:szCs w:val="24"/>
          <w:lang w:eastAsia="el-GR"/>
        </w:rPr>
        <w:t xml:space="preserve">Για την άσκηση της επαγγελματικής δραστηριότητας </w:t>
      </w:r>
      <w:bookmarkStart w:id="13" w:name="_Hlk120280863"/>
      <w:r w:rsidRPr="00C114D1">
        <w:rPr>
          <w:rFonts w:ascii="Times New Roman" w:hAnsi="Times New Roman" w:cs="Times New Roman"/>
          <w:sz w:val="24"/>
          <w:szCs w:val="24"/>
          <w:lang w:eastAsia="el-GR"/>
        </w:rPr>
        <w:t>του</w:t>
      </w:r>
      <w:r w:rsidRPr="00C114D1">
        <w:rPr>
          <w:rFonts w:ascii="Times New Roman" w:hAnsi="Times New Roman" w:cs="Times New Roman"/>
          <w:b/>
          <w:bCs/>
          <w:sz w:val="24"/>
          <w:szCs w:val="24"/>
          <w:lang w:eastAsia="el-GR"/>
        </w:rPr>
        <w:t xml:space="preserve"> χειρισμού</w:t>
      </w:r>
      <w:r w:rsidRPr="00C114D1">
        <w:rPr>
          <w:rFonts w:ascii="Times New Roman" w:hAnsi="Times New Roman" w:cs="Times New Roman"/>
          <w:sz w:val="24"/>
          <w:szCs w:val="24"/>
          <w:lang w:eastAsia="el-GR"/>
        </w:rPr>
        <w:t xml:space="preserve"> </w:t>
      </w:r>
      <w:r w:rsidRPr="00C114D1">
        <w:rPr>
          <w:rFonts w:ascii="Times New Roman" w:hAnsi="Times New Roman" w:cs="Times New Roman"/>
          <w:b/>
          <w:bCs/>
          <w:sz w:val="24"/>
          <w:szCs w:val="24"/>
          <w:lang w:eastAsia="el-GR"/>
        </w:rPr>
        <w:t>μηχανημάτων έργου, που κατατάσσονται στην «ειδικότητα 2»</w:t>
      </w:r>
      <w:r w:rsidRPr="00C114D1">
        <w:rPr>
          <w:rFonts w:ascii="Times New Roman" w:hAnsi="Times New Roman" w:cs="Times New Roman"/>
          <w:sz w:val="24"/>
          <w:szCs w:val="24"/>
          <w:lang w:eastAsia="el-GR"/>
        </w:rPr>
        <w:t xml:space="preserve"> (εργασίες ανύψωσης και μεταφοράς φορτίων ή προσώπων)</w:t>
      </w:r>
      <w:bookmarkEnd w:id="13"/>
      <w:r w:rsidRPr="00C114D1">
        <w:rPr>
          <w:rFonts w:ascii="Times New Roman" w:hAnsi="Times New Roman" w:cs="Times New Roman"/>
          <w:sz w:val="24"/>
          <w:szCs w:val="24"/>
          <w:lang w:eastAsia="el-GR"/>
        </w:rPr>
        <w:t xml:space="preserve">, σύμφωνα με την υπό στοιχεία οικ.1032/166/Φ.Γ.9.6.4(Η)/5.3.2013 απόφαση του Υφυπουργού Ανάπτυξης, Ανταγωνιστικότητας, Υποδομών, Μεταφορών και Δικτύων (Β’ 519), </w:t>
      </w:r>
      <w:r w:rsidRPr="00C114D1">
        <w:rPr>
          <w:rFonts w:ascii="Times New Roman" w:hAnsi="Times New Roman" w:cs="Times New Roman"/>
          <w:b/>
          <w:bCs/>
          <w:color w:val="2F5496" w:themeColor="accent1" w:themeShade="BF"/>
          <w:sz w:val="24"/>
          <w:szCs w:val="24"/>
          <w:lang w:eastAsia="el-GR"/>
        </w:rPr>
        <w:t xml:space="preserve">με συνολική ισχύ κινητήρων άνω των δέκα (10) </w:t>
      </w:r>
      <w:proofErr w:type="spellStart"/>
      <w:r w:rsidRPr="00C114D1">
        <w:rPr>
          <w:rFonts w:ascii="Times New Roman" w:hAnsi="Times New Roman" w:cs="Times New Roman"/>
          <w:b/>
          <w:bCs/>
          <w:color w:val="2F5496" w:themeColor="accent1" w:themeShade="BF"/>
          <w:sz w:val="24"/>
          <w:szCs w:val="24"/>
          <w:lang w:eastAsia="el-GR"/>
        </w:rPr>
        <w:t>kw</w:t>
      </w:r>
      <w:proofErr w:type="spellEnd"/>
      <w:r w:rsidRPr="00C114D1">
        <w:rPr>
          <w:rFonts w:ascii="Times New Roman" w:hAnsi="Times New Roman" w:cs="Times New Roman"/>
          <w:b/>
          <w:bCs/>
          <w:color w:val="2F5496" w:themeColor="accent1" w:themeShade="BF"/>
          <w:sz w:val="24"/>
          <w:szCs w:val="24"/>
          <w:lang w:eastAsia="el-GR"/>
        </w:rPr>
        <w:t xml:space="preserve"> και </w:t>
      </w:r>
      <w:r w:rsidRPr="00C114D1">
        <w:rPr>
          <w:rFonts w:ascii="Times New Roman" w:hAnsi="Times New Roman" w:cs="Times New Roman"/>
          <w:b/>
          <w:bCs/>
          <w:color w:val="2F5496" w:themeColor="accent1" w:themeShade="BF"/>
          <w:sz w:val="24"/>
          <w:szCs w:val="24"/>
          <w:u w:val="single"/>
          <w:lang w:eastAsia="el-GR"/>
        </w:rPr>
        <w:t xml:space="preserve">μέγιστη ανυψωτική ικανότητα έως δύο χιλιάδων πεντακοσίων (2.500) </w:t>
      </w:r>
      <w:proofErr w:type="spellStart"/>
      <w:r w:rsidRPr="00C114D1">
        <w:rPr>
          <w:rFonts w:ascii="Times New Roman" w:hAnsi="Times New Roman" w:cs="Times New Roman"/>
          <w:b/>
          <w:bCs/>
          <w:color w:val="2F5496" w:themeColor="accent1" w:themeShade="BF"/>
          <w:sz w:val="24"/>
          <w:szCs w:val="24"/>
          <w:u w:val="single"/>
          <w:lang w:eastAsia="el-GR"/>
        </w:rPr>
        <w:t>kgr</w:t>
      </w:r>
      <w:proofErr w:type="spellEnd"/>
      <w:r w:rsidRPr="00C114D1">
        <w:rPr>
          <w:rFonts w:ascii="Times New Roman" w:hAnsi="Times New Roman" w:cs="Times New Roman"/>
          <w:b/>
          <w:bCs/>
          <w:color w:val="2F5496" w:themeColor="accent1" w:themeShade="BF"/>
          <w:sz w:val="24"/>
          <w:szCs w:val="24"/>
          <w:lang w:eastAsia="el-GR"/>
        </w:rPr>
        <w:t xml:space="preserve"> </w:t>
      </w:r>
      <w:r w:rsidRPr="00C114D1">
        <w:rPr>
          <w:rFonts w:ascii="Times New Roman" w:hAnsi="Times New Roman" w:cs="Times New Roman"/>
          <w:b/>
          <w:bCs/>
          <w:sz w:val="24"/>
          <w:szCs w:val="24"/>
          <w:lang w:eastAsia="el-GR"/>
        </w:rPr>
        <w:t xml:space="preserve">δεν απαιτείται η προηγούμενη λήψη άδειας ή αναγγελίας και η σχετική επαγγελματική δραστηριότητα ασκείται ελεύθερα, </w:t>
      </w:r>
      <w:r w:rsidRPr="00C114D1">
        <w:rPr>
          <w:rFonts w:ascii="Times New Roman" w:hAnsi="Times New Roman" w:cs="Times New Roman"/>
          <w:b/>
          <w:bCs/>
          <w:sz w:val="24"/>
          <w:szCs w:val="24"/>
          <w:u w:val="single"/>
          <w:lang w:eastAsia="el-GR"/>
        </w:rPr>
        <w:t xml:space="preserve">υπό την προϋπόθεση ότι οι ενδιαφερόμενοι έχουν υποβληθεί σε πρόγραμμα επαγγελματικής κατάρτισης. </w:t>
      </w:r>
    </w:p>
    <w:p w14:paraId="5BABF33F" w14:textId="77777777" w:rsidR="00C114D1" w:rsidRPr="00C114D1" w:rsidRDefault="00C114D1" w:rsidP="00C114D1">
      <w:pPr>
        <w:numPr>
          <w:ilvl w:val="0"/>
          <w:numId w:val="21"/>
        </w:numPr>
        <w:spacing w:after="120" w:line="288" w:lineRule="auto"/>
        <w:ind w:left="709" w:right="259" w:hanging="283"/>
        <w:jc w:val="both"/>
        <w:rPr>
          <w:rFonts w:ascii="Times New Roman" w:hAnsi="Times New Roman" w:cs="Times New Roman"/>
          <w:b/>
          <w:bCs/>
          <w:sz w:val="24"/>
          <w:szCs w:val="24"/>
          <w:u w:val="single"/>
          <w:lang w:eastAsia="el-GR"/>
        </w:rPr>
      </w:pPr>
      <w:r w:rsidRPr="00C114D1">
        <w:rPr>
          <w:rFonts w:ascii="Times New Roman" w:hAnsi="Times New Roman" w:cs="Times New Roman"/>
          <w:sz w:val="24"/>
          <w:szCs w:val="24"/>
          <w:lang w:eastAsia="el-GR"/>
        </w:rPr>
        <w:t>Για την άσκηση της επαγγελματικής δραστηριότητας του</w:t>
      </w:r>
      <w:r w:rsidRPr="00C114D1">
        <w:rPr>
          <w:rFonts w:ascii="Times New Roman" w:hAnsi="Times New Roman" w:cs="Times New Roman"/>
          <w:b/>
          <w:bCs/>
          <w:sz w:val="24"/>
          <w:szCs w:val="24"/>
          <w:lang w:eastAsia="el-GR"/>
        </w:rPr>
        <w:t xml:space="preserve"> χειρισμού μηχανημάτων έργου που κατατάσσονται στην ως άνω «ειδικότητα 2»,</w:t>
      </w:r>
      <w:r w:rsidRPr="00C114D1">
        <w:rPr>
          <w:rFonts w:ascii="Times New Roman" w:hAnsi="Times New Roman" w:cs="Times New Roman"/>
          <w:sz w:val="24"/>
          <w:szCs w:val="24"/>
          <w:lang w:eastAsia="el-GR"/>
        </w:rPr>
        <w:t xml:space="preserve"> </w:t>
      </w:r>
      <w:r w:rsidRPr="00C114D1">
        <w:rPr>
          <w:rFonts w:ascii="Times New Roman" w:hAnsi="Times New Roman" w:cs="Times New Roman"/>
          <w:b/>
          <w:bCs/>
          <w:color w:val="2F5496" w:themeColor="accent1" w:themeShade="BF"/>
          <w:sz w:val="24"/>
          <w:szCs w:val="24"/>
          <w:lang w:eastAsia="el-GR"/>
        </w:rPr>
        <w:t xml:space="preserve">με συνολική ισχύ κινητήρων άνω των δέκα (10) </w:t>
      </w:r>
      <w:proofErr w:type="spellStart"/>
      <w:r w:rsidRPr="00C114D1">
        <w:rPr>
          <w:rFonts w:ascii="Times New Roman" w:hAnsi="Times New Roman" w:cs="Times New Roman"/>
          <w:b/>
          <w:bCs/>
          <w:color w:val="2F5496" w:themeColor="accent1" w:themeShade="BF"/>
          <w:sz w:val="24"/>
          <w:szCs w:val="24"/>
          <w:lang w:eastAsia="el-GR"/>
        </w:rPr>
        <w:t>kw</w:t>
      </w:r>
      <w:proofErr w:type="spellEnd"/>
      <w:r w:rsidRPr="00C114D1">
        <w:rPr>
          <w:rFonts w:ascii="Times New Roman" w:hAnsi="Times New Roman" w:cs="Times New Roman"/>
          <w:b/>
          <w:bCs/>
          <w:color w:val="2F5496" w:themeColor="accent1" w:themeShade="BF"/>
          <w:sz w:val="24"/>
          <w:szCs w:val="24"/>
          <w:lang w:eastAsia="el-GR"/>
        </w:rPr>
        <w:t xml:space="preserve"> και</w:t>
      </w:r>
      <w:r w:rsidRPr="00C114D1">
        <w:rPr>
          <w:rFonts w:ascii="Times New Roman" w:hAnsi="Times New Roman" w:cs="Times New Roman"/>
          <w:b/>
          <w:bCs/>
          <w:color w:val="2F5496" w:themeColor="accent1" w:themeShade="BF"/>
          <w:sz w:val="24"/>
          <w:szCs w:val="24"/>
          <w:u w:val="single"/>
          <w:lang w:eastAsia="el-GR"/>
        </w:rPr>
        <w:t xml:space="preserve"> μέγιστη ανυψωτική ικανότητα έως τεσσάρων χιλιάδων (4.000) </w:t>
      </w:r>
      <w:proofErr w:type="spellStart"/>
      <w:r w:rsidRPr="00C114D1">
        <w:rPr>
          <w:rFonts w:ascii="Times New Roman" w:hAnsi="Times New Roman" w:cs="Times New Roman"/>
          <w:b/>
          <w:bCs/>
          <w:color w:val="2F5496" w:themeColor="accent1" w:themeShade="BF"/>
          <w:sz w:val="24"/>
          <w:szCs w:val="24"/>
          <w:u w:val="single"/>
          <w:lang w:eastAsia="el-GR"/>
        </w:rPr>
        <w:t>kgr</w:t>
      </w:r>
      <w:proofErr w:type="spellEnd"/>
      <w:r w:rsidRPr="00C114D1">
        <w:rPr>
          <w:rFonts w:ascii="Times New Roman" w:hAnsi="Times New Roman" w:cs="Times New Roman"/>
          <w:sz w:val="24"/>
          <w:szCs w:val="24"/>
          <w:lang w:eastAsia="el-GR"/>
        </w:rPr>
        <w:t xml:space="preserve">, </w:t>
      </w:r>
      <w:r w:rsidRPr="00C114D1">
        <w:rPr>
          <w:rFonts w:ascii="Times New Roman" w:hAnsi="Times New Roman" w:cs="Times New Roman"/>
          <w:b/>
          <w:bCs/>
          <w:sz w:val="24"/>
          <w:szCs w:val="24"/>
          <w:lang w:eastAsia="el-GR"/>
        </w:rPr>
        <w:t>απαιτείται είτε πιστοποίηση της τεχνικής επάρκειας</w:t>
      </w:r>
      <w:r w:rsidRPr="00C114D1">
        <w:rPr>
          <w:rFonts w:ascii="Times New Roman" w:hAnsi="Times New Roman" w:cs="Times New Roman"/>
          <w:sz w:val="24"/>
          <w:szCs w:val="24"/>
          <w:lang w:eastAsia="el-GR"/>
        </w:rPr>
        <w:t xml:space="preserve">, </w:t>
      </w:r>
      <w:r w:rsidRPr="00C114D1">
        <w:rPr>
          <w:rFonts w:ascii="Times New Roman" w:hAnsi="Times New Roman" w:cs="Times New Roman"/>
          <w:b/>
          <w:bCs/>
          <w:sz w:val="24"/>
          <w:szCs w:val="24"/>
          <w:lang w:eastAsia="el-GR"/>
        </w:rPr>
        <w:t>είτε λήψη αντίστοιχης άδειας</w:t>
      </w:r>
      <w:r w:rsidRPr="00C114D1">
        <w:rPr>
          <w:rFonts w:ascii="Times New Roman" w:hAnsi="Times New Roman" w:cs="Times New Roman"/>
          <w:sz w:val="24"/>
          <w:szCs w:val="24"/>
          <w:lang w:eastAsia="el-GR"/>
        </w:rPr>
        <w:t>, σύμφωνα με το Π.Δ. 113/2012 (Α’ 198) και την υπό στοιχεία οικ.10169/639/ Φ.Γ.9.6.4(ΣΤ)/12.8.2013 κοινή απόφαση των Υπουργών Εσωτερικών, Ανάπτυξης και Ανταγωνιστικότητας και Παιδείας και Θρησκευμάτων (Β’ 1983).</w:t>
      </w:r>
    </w:p>
    <w:p w14:paraId="7B7554ED" w14:textId="77777777" w:rsidR="00C114D1" w:rsidRPr="00C114D1" w:rsidRDefault="00C114D1" w:rsidP="00C114D1">
      <w:pPr>
        <w:numPr>
          <w:ilvl w:val="0"/>
          <w:numId w:val="21"/>
        </w:numPr>
        <w:spacing w:after="120" w:line="288" w:lineRule="auto"/>
        <w:ind w:left="709" w:right="259" w:hanging="283"/>
        <w:jc w:val="both"/>
        <w:rPr>
          <w:rFonts w:ascii="Times New Roman" w:hAnsi="Times New Roman" w:cs="Times New Roman"/>
          <w:b/>
          <w:bCs/>
          <w:sz w:val="24"/>
          <w:szCs w:val="24"/>
          <w:u w:val="single"/>
          <w:lang w:eastAsia="el-GR"/>
        </w:rPr>
      </w:pPr>
      <w:r w:rsidRPr="00C114D1">
        <w:rPr>
          <w:rFonts w:ascii="Times New Roman" w:hAnsi="Times New Roman" w:cs="Times New Roman"/>
          <w:sz w:val="24"/>
          <w:szCs w:val="24"/>
          <w:lang w:eastAsia="el-GR"/>
        </w:rPr>
        <w:t xml:space="preserve">Για την άσκηση της επαγγελματικής δραστηριότητας του </w:t>
      </w:r>
      <w:r w:rsidRPr="00C114D1">
        <w:rPr>
          <w:rFonts w:ascii="Times New Roman" w:hAnsi="Times New Roman" w:cs="Times New Roman"/>
          <w:b/>
          <w:bCs/>
          <w:sz w:val="24"/>
          <w:szCs w:val="24"/>
          <w:lang w:eastAsia="el-GR"/>
        </w:rPr>
        <w:t>χειρισμού μηχανημάτων έργου που κατατάσσονται στην ως άνω «ειδικότητα 2»</w:t>
      </w:r>
      <w:r w:rsidRPr="00C114D1">
        <w:rPr>
          <w:rFonts w:ascii="Times New Roman" w:hAnsi="Times New Roman" w:cs="Times New Roman"/>
          <w:sz w:val="24"/>
          <w:szCs w:val="24"/>
          <w:lang w:eastAsia="el-GR"/>
        </w:rPr>
        <w:t xml:space="preserve">, </w:t>
      </w:r>
      <w:r w:rsidRPr="00C114D1">
        <w:rPr>
          <w:rFonts w:ascii="Times New Roman" w:hAnsi="Times New Roman" w:cs="Times New Roman"/>
          <w:b/>
          <w:bCs/>
          <w:color w:val="2F5496" w:themeColor="accent1" w:themeShade="BF"/>
          <w:sz w:val="24"/>
          <w:szCs w:val="24"/>
          <w:lang w:eastAsia="el-GR"/>
        </w:rPr>
        <w:t xml:space="preserve">με συνολική ισχύ κινητήρων άνω των δέκα (10) </w:t>
      </w:r>
      <w:proofErr w:type="spellStart"/>
      <w:r w:rsidRPr="00C114D1">
        <w:rPr>
          <w:rFonts w:ascii="Times New Roman" w:hAnsi="Times New Roman" w:cs="Times New Roman"/>
          <w:b/>
          <w:bCs/>
          <w:color w:val="2F5496" w:themeColor="accent1" w:themeShade="BF"/>
          <w:sz w:val="24"/>
          <w:szCs w:val="24"/>
          <w:lang w:eastAsia="el-GR"/>
        </w:rPr>
        <w:t>kw</w:t>
      </w:r>
      <w:proofErr w:type="spellEnd"/>
      <w:r w:rsidRPr="00C114D1">
        <w:rPr>
          <w:rFonts w:ascii="Times New Roman" w:hAnsi="Times New Roman" w:cs="Times New Roman"/>
          <w:b/>
          <w:bCs/>
          <w:color w:val="2F5496" w:themeColor="accent1" w:themeShade="BF"/>
          <w:sz w:val="24"/>
          <w:szCs w:val="24"/>
          <w:lang w:eastAsia="el-GR"/>
        </w:rPr>
        <w:t xml:space="preserve"> και </w:t>
      </w:r>
      <w:r w:rsidRPr="00C114D1">
        <w:rPr>
          <w:rFonts w:ascii="Times New Roman" w:hAnsi="Times New Roman" w:cs="Times New Roman"/>
          <w:b/>
          <w:bCs/>
          <w:color w:val="2F5496" w:themeColor="accent1" w:themeShade="BF"/>
          <w:sz w:val="24"/>
          <w:szCs w:val="24"/>
          <w:u w:val="single"/>
          <w:lang w:eastAsia="el-GR"/>
        </w:rPr>
        <w:t xml:space="preserve">μέγιστη ανυψωτική ικανότητα άνω των τεσσάρων χιλιάδων (4.000) </w:t>
      </w:r>
      <w:proofErr w:type="spellStart"/>
      <w:r w:rsidRPr="00C114D1">
        <w:rPr>
          <w:rFonts w:ascii="Times New Roman" w:hAnsi="Times New Roman" w:cs="Times New Roman"/>
          <w:b/>
          <w:bCs/>
          <w:color w:val="2F5496" w:themeColor="accent1" w:themeShade="BF"/>
          <w:sz w:val="24"/>
          <w:szCs w:val="24"/>
          <w:u w:val="single"/>
          <w:lang w:eastAsia="el-GR"/>
        </w:rPr>
        <w:t>kgr</w:t>
      </w:r>
      <w:proofErr w:type="spellEnd"/>
      <w:r w:rsidRPr="00C114D1">
        <w:rPr>
          <w:rFonts w:ascii="Times New Roman" w:hAnsi="Times New Roman" w:cs="Times New Roman"/>
          <w:color w:val="2F5496" w:themeColor="accent1" w:themeShade="BF"/>
          <w:sz w:val="24"/>
          <w:szCs w:val="24"/>
          <w:lang w:eastAsia="el-GR"/>
        </w:rPr>
        <w:t>,</w:t>
      </w:r>
      <w:r w:rsidRPr="00C114D1">
        <w:rPr>
          <w:rFonts w:ascii="Times New Roman" w:hAnsi="Times New Roman" w:cs="Times New Roman"/>
          <w:sz w:val="24"/>
          <w:szCs w:val="24"/>
          <w:lang w:eastAsia="el-GR"/>
        </w:rPr>
        <w:t xml:space="preserve"> </w:t>
      </w:r>
      <w:r w:rsidRPr="00C114D1">
        <w:rPr>
          <w:rFonts w:ascii="Times New Roman" w:hAnsi="Times New Roman" w:cs="Times New Roman"/>
          <w:b/>
          <w:bCs/>
          <w:sz w:val="24"/>
          <w:szCs w:val="24"/>
          <w:lang w:eastAsia="el-GR"/>
        </w:rPr>
        <w:t>απαιτείται η λήψη αντίστοιχης άδειας</w:t>
      </w:r>
      <w:r w:rsidRPr="00C114D1">
        <w:rPr>
          <w:rFonts w:ascii="Times New Roman" w:hAnsi="Times New Roman" w:cs="Times New Roman"/>
          <w:sz w:val="24"/>
          <w:szCs w:val="24"/>
          <w:lang w:eastAsia="el-GR"/>
        </w:rPr>
        <w:t>, σύμφωνα με το Π.Δ. 113/2012 και την υπό στοιχεία oικ.10169/639/Φ.Γ.9.6.4 (ΣΤ)/12.8.2013 κοινή απόφαση.</w:t>
      </w:r>
    </w:p>
    <w:p w14:paraId="1D543777" w14:textId="77777777" w:rsidR="00C114D1" w:rsidRPr="00C114D1" w:rsidRDefault="00C114D1" w:rsidP="00C114D1">
      <w:pPr>
        <w:spacing w:after="120" w:line="288" w:lineRule="auto"/>
        <w:ind w:left="284" w:right="259"/>
        <w:jc w:val="both"/>
        <w:rPr>
          <w:rFonts w:ascii="Times New Roman" w:hAnsi="Times New Roman" w:cs="Times New Roman"/>
          <w:b/>
          <w:bCs/>
          <w:sz w:val="24"/>
          <w:szCs w:val="24"/>
          <w:lang w:eastAsia="el-GR"/>
        </w:rPr>
      </w:pPr>
    </w:p>
    <w:p w14:paraId="42E0A4F9" w14:textId="77777777" w:rsidR="00C114D1" w:rsidRPr="00C114D1" w:rsidRDefault="00C114D1" w:rsidP="00C114D1">
      <w:pPr>
        <w:spacing w:after="120" w:line="288" w:lineRule="auto"/>
        <w:ind w:left="284" w:right="259"/>
        <w:jc w:val="both"/>
        <w:rPr>
          <w:rFonts w:ascii="Times New Roman" w:hAnsi="Times New Roman" w:cs="Times New Roman"/>
          <w:b/>
          <w:bCs/>
          <w:sz w:val="24"/>
          <w:szCs w:val="24"/>
          <w:lang w:eastAsia="el-GR"/>
        </w:rPr>
      </w:pPr>
      <w:r w:rsidRPr="00C114D1">
        <w:rPr>
          <w:rFonts w:ascii="Times New Roman" w:hAnsi="Times New Roman" w:cs="Times New Roman"/>
          <w:b/>
          <w:bCs/>
          <w:sz w:val="24"/>
          <w:szCs w:val="24"/>
          <w:lang w:eastAsia="el-GR"/>
        </w:rPr>
        <w:t>ΛΗΨΗ ΑΔΕΙΑΣ ΧΕΙΡΙΣΜΟΥ ΜΗΧΑΝΗΜΑΤΩΝ ΕΡΓΟΥ</w:t>
      </w:r>
    </w:p>
    <w:p w14:paraId="3F25CF01" w14:textId="77777777" w:rsidR="00C114D1" w:rsidRPr="00C114D1" w:rsidRDefault="00C114D1" w:rsidP="00C114D1">
      <w:pPr>
        <w:spacing w:after="120" w:line="288" w:lineRule="auto"/>
        <w:ind w:left="284" w:right="259"/>
        <w:jc w:val="both"/>
        <w:rPr>
          <w:rFonts w:ascii="Times New Roman" w:hAnsi="Times New Roman" w:cs="Times New Roman"/>
          <w:b/>
          <w:bCs/>
          <w:sz w:val="24"/>
          <w:szCs w:val="24"/>
          <w:lang w:eastAsia="el-GR"/>
        </w:rPr>
      </w:pPr>
      <w:r w:rsidRPr="00C114D1">
        <w:rPr>
          <w:rFonts w:ascii="Times New Roman" w:hAnsi="Times New Roman" w:cs="Times New Roman"/>
          <w:b/>
          <w:bCs/>
          <w:sz w:val="24"/>
          <w:szCs w:val="24"/>
          <w:lang w:eastAsia="el-GR"/>
        </w:rPr>
        <w:lastRenderedPageBreak/>
        <w:t xml:space="preserve">Για τη λήψη άδειας για χειρισμό μηχανημάτων έργου της «ειδικότητας 2» με συνολική ισχύ κινητήρων άνω των δέκα (10) </w:t>
      </w:r>
      <w:proofErr w:type="spellStart"/>
      <w:r w:rsidRPr="00C114D1">
        <w:rPr>
          <w:rFonts w:ascii="Times New Roman" w:hAnsi="Times New Roman" w:cs="Times New Roman"/>
          <w:b/>
          <w:bCs/>
          <w:sz w:val="24"/>
          <w:szCs w:val="24"/>
          <w:lang w:eastAsia="el-GR"/>
        </w:rPr>
        <w:t>kw</w:t>
      </w:r>
      <w:proofErr w:type="spellEnd"/>
      <w:r w:rsidRPr="00C114D1">
        <w:rPr>
          <w:rFonts w:ascii="Times New Roman" w:hAnsi="Times New Roman" w:cs="Times New Roman"/>
          <w:b/>
          <w:bCs/>
          <w:sz w:val="24"/>
          <w:szCs w:val="24"/>
          <w:lang w:eastAsia="el-GR"/>
        </w:rPr>
        <w:t xml:space="preserve"> και μέγιστη ανυψωτική ικανότητα έως τεσσάρων χιλιάδων (4.000) </w:t>
      </w:r>
      <w:proofErr w:type="spellStart"/>
      <w:r w:rsidRPr="00C114D1">
        <w:rPr>
          <w:rFonts w:ascii="Times New Roman" w:hAnsi="Times New Roman" w:cs="Times New Roman"/>
          <w:b/>
          <w:bCs/>
          <w:sz w:val="24"/>
          <w:szCs w:val="24"/>
          <w:lang w:eastAsia="el-GR"/>
        </w:rPr>
        <w:t>kgr</w:t>
      </w:r>
      <w:proofErr w:type="spellEnd"/>
      <w:r w:rsidRPr="00C114D1">
        <w:rPr>
          <w:rFonts w:ascii="Times New Roman" w:hAnsi="Times New Roman" w:cs="Times New Roman"/>
          <w:b/>
          <w:bCs/>
          <w:sz w:val="24"/>
          <w:szCs w:val="24"/>
          <w:lang w:eastAsia="el-GR"/>
        </w:rPr>
        <w:t xml:space="preserve">, απαιτείται προϋπηρεσία ίση με το πενήντα τοις εκατό (50%) της οριζόμενης ως απαιτούμενης προϋπηρεσίας </w:t>
      </w:r>
      <w:r w:rsidRPr="00C114D1">
        <w:rPr>
          <w:rFonts w:ascii="Times New Roman" w:hAnsi="Times New Roman" w:cs="Times New Roman"/>
          <w:sz w:val="24"/>
          <w:szCs w:val="24"/>
          <w:lang w:eastAsia="el-GR"/>
        </w:rPr>
        <w:t xml:space="preserve">της παρ. 2 του άρθρου 5 του Π.Δ. 113/2012. Για την τεκμηρίωση της επαγγελματικής εμπειρίας λαμβάνεται υπόψη η προϋπηρεσία σε κάθε υποκατηγορία της κάθε ειδικότητας, ανεξάρτητα από την απαίτηση προηγούμενης λήψης άδειας ή πιστοποίησης τεχνικής επάρκειας, ακόμα και αν η σχετική προϋπηρεσία ασκείται σε μηχανήματα έργου κάτω του ορίου των δέκα (10) </w:t>
      </w:r>
      <w:proofErr w:type="spellStart"/>
      <w:r w:rsidRPr="00C114D1">
        <w:rPr>
          <w:rFonts w:ascii="Times New Roman" w:hAnsi="Times New Roman" w:cs="Times New Roman"/>
          <w:sz w:val="24"/>
          <w:szCs w:val="24"/>
          <w:lang w:eastAsia="el-GR"/>
        </w:rPr>
        <w:t>kw</w:t>
      </w:r>
      <w:proofErr w:type="spellEnd"/>
      <w:r w:rsidRPr="00C114D1">
        <w:rPr>
          <w:rFonts w:ascii="Times New Roman" w:hAnsi="Times New Roman" w:cs="Times New Roman"/>
          <w:sz w:val="24"/>
          <w:szCs w:val="24"/>
          <w:lang w:eastAsia="el-GR"/>
        </w:rPr>
        <w:t>.</w:t>
      </w:r>
    </w:p>
    <w:p w14:paraId="28833E71" w14:textId="77777777" w:rsidR="00C114D1" w:rsidRPr="00C114D1" w:rsidRDefault="00C114D1" w:rsidP="00C114D1">
      <w:pPr>
        <w:spacing w:after="120" w:line="288" w:lineRule="auto"/>
        <w:ind w:left="284" w:right="259"/>
        <w:jc w:val="both"/>
        <w:rPr>
          <w:rFonts w:ascii="Times New Roman" w:hAnsi="Times New Roman" w:cs="Times New Roman"/>
          <w:b/>
          <w:bCs/>
          <w:sz w:val="24"/>
          <w:szCs w:val="24"/>
          <w:lang w:eastAsia="el-GR"/>
        </w:rPr>
      </w:pPr>
    </w:p>
    <w:p w14:paraId="4DFF502A" w14:textId="77777777" w:rsidR="00C114D1" w:rsidRPr="00C114D1" w:rsidRDefault="00C114D1" w:rsidP="00C114D1">
      <w:pPr>
        <w:spacing w:after="120" w:line="288" w:lineRule="auto"/>
        <w:ind w:left="284" w:right="259"/>
        <w:jc w:val="both"/>
        <w:rPr>
          <w:rFonts w:ascii="Times New Roman" w:hAnsi="Times New Roman" w:cs="Times New Roman"/>
          <w:b/>
          <w:bCs/>
          <w:sz w:val="24"/>
          <w:szCs w:val="24"/>
          <w:lang w:eastAsia="el-GR"/>
        </w:rPr>
      </w:pPr>
      <w:r w:rsidRPr="00C114D1">
        <w:rPr>
          <w:rFonts w:ascii="Times New Roman" w:hAnsi="Times New Roman" w:cs="Times New Roman"/>
          <w:b/>
          <w:bCs/>
          <w:sz w:val="24"/>
          <w:szCs w:val="24"/>
          <w:lang w:eastAsia="el-GR"/>
        </w:rPr>
        <w:t>ΠΙΣΤΟΠΟΙΗΣΗ ΤΕΧΝΙΚΗΣ ΕΠΑΡΚΕΙΑΣ</w:t>
      </w:r>
    </w:p>
    <w:p w14:paraId="56B3304D" w14:textId="77777777" w:rsidR="00C114D1" w:rsidRPr="00C114D1" w:rsidRDefault="00C114D1" w:rsidP="00C114D1">
      <w:pPr>
        <w:spacing w:after="120" w:line="288" w:lineRule="auto"/>
        <w:ind w:left="284" w:right="259"/>
        <w:jc w:val="both"/>
        <w:rPr>
          <w:rFonts w:ascii="Times New Roman" w:hAnsi="Times New Roman" w:cs="Times New Roman"/>
          <w:sz w:val="24"/>
          <w:szCs w:val="24"/>
          <w:lang w:eastAsia="el-GR"/>
        </w:rPr>
      </w:pPr>
      <w:r w:rsidRPr="00C114D1">
        <w:rPr>
          <w:rFonts w:ascii="Times New Roman" w:hAnsi="Times New Roman" w:cs="Times New Roman"/>
          <w:sz w:val="24"/>
          <w:szCs w:val="24"/>
          <w:lang w:eastAsia="el-GR"/>
        </w:rPr>
        <w:t xml:space="preserve">Η πιστοποίηση τεχνικής επάρκειας παρέχεται από κατάλληλα διαπιστευμένο φορέα πιστοποίησης, σύμφωνα με το πρότυπο «ELOT ΕΝ ISO 17024», βάσει Σχημάτων Πιστοποίησης Επαγγελματικής Εξειδίκευσης και Δεξιοτήτων. Τα Σχήματα Πιστοποίησης σχεδιάζονται κυρίως ως προγράμματα επαγγελματικής κατάρτισης και εγκρίνονται με απόφαση του Υπουργού Ανάπτυξης και Επενδύσεων. </w:t>
      </w:r>
    </w:p>
    <w:p w14:paraId="3FC93980" w14:textId="77777777" w:rsidR="00C114D1" w:rsidRPr="00C114D1" w:rsidRDefault="00C114D1" w:rsidP="00C114D1">
      <w:pPr>
        <w:spacing w:after="120" w:line="288" w:lineRule="auto"/>
        <w:ind w:left="284" w:right="259"/>
        <w:jc w:val="both"/>
        <w:rPr>
          <w:rFonts w:ascii="Times New Roman" w:hAnsi="Times New Roman" w:cs="Times New Roman"/>
          <w:b/>
          <w:bCs/>
          <w:sz w:val="24"/>
          <w:szCs w:val="24"/>
          <w:lang w:eastAsia="el-GR"/>
        </w:rPr>
      </w:pPr>
      <w:r w:rsidRPr="00C114D1">
        <w:rPr>
          <w:rFonts w:ascii="Times New Roman" w:hAnsi="Times New Roman" w:cs="Times New Roman"/>
          <w:b/>
          <w:bCs/>
          <w:sz w:val="24"/>
          <w:szCs w:val="24"/>
          <w:lang w:eastAsia="el-GR"/>
        </w:rPr>
        <w:t>ΕΙΔΙΚΑ ΠΡΟΓΡΑΜΜΑΤΑ ΕΠΑΓΓΕΛΜΑΤΙΚΗΣ ΚΑΤΑΡΤΙΣΗΣ</w:t>
      </w:r>
    </w:p>
    <w:p w14:paraId="25AFC01D" w14:textId="77777777" w:rsidR="00C114D1" w:rsidRPr="00C114D1" w:rsidRDefault="00C114D1" w:rsidP="00C114D1">
      <w:pPr>
        <w:spacing w:after="120" w:line="288" w:lineRule="auto"/>
        <w:ind w:left="284" w:right="259"/>
        <w:jc w:val="both"/>
        <w:rPr>
          <w:rFonts w:ascii="Times New Roman" w:hAnsi="Times New Roman" w:cs="Times New Roman"/>
          <w:sz w:val="24"/>
          <w:szCs w:val="24"/>
          <w:lang w:eastAsia="el-GR"/>
        </w:rPr>
      </w:pPr>
      <w:r w:rsidRPr="00C114D1">
        <w:rPr>
          <w:rFonts w:ascii="Times New Roman" w:hAnsi="Times New Roman" w:cs="Times New Roman"/>
          <w:sz w:val="24"/>
          <w:szCs w:val="24"/>
          <w:lang w:eastAsia="el-GR"/>
        </w:rPr>
        <w:t>Με την ίδια απόφαση μπορούν να εγκρίνονται και ειδικά προγράμματα επαγγελματικής κατάρτισης, ιδίως για την άσκηση της επαγγελματικής δραστηριότητας του</w:t>
      </w:r>
      <w:r w:rsidRPr="00C114D1">
        <w:rPr>
          <w:rFonts w:ascii="Times New Roman" w:hAnsi="Times New Roman" w:cs="Times New Roman"/>
          <w:b/>
          <w:bCs/>
          <w:sz w:val="24"/>
          <w:szCs w:val="24"/>
          <w:lang w:eastAsia="el-GR"/>
        </w:rPr>
        <w:t xml:space="preserve"> χειρισμού</w:t>
      </w:r>
      <w:r w:rsidRPr="00C114D1">
        <w:rPr>
          <w:rFonts w:ascii="Times New Roman" w:hAnsi="Times New Roman" w:cs="Times New Roman"/>
          <w:sz w:val="24"/>
          <w:szCs w:val="24"/>
          <w:lang w:eastAsia="el-GR"/>
        </w:rPr>
        <w:t xml:space="preserve"> </w:t>
      </w:r>
      <w:r w:rsidRPr="00C114D1">
        <w:rPr>
          <w:rFonts w:ascii="Times New Roman" w:hAnsi="Times New Roman" w:cs="Times New Roman"/>
          <w:b/>
          <w:bCs/>
          <w:sz w:val="24"/>
          <w:szCs w:val="24"/>
          <w:lang w:eastAsia="el-GR"/>
        </w:rPr>
        <w:t>μηχανημάτων έργου που κατατάσσονται στην «ειδικότητα 2»</w:t>
      </w:r>
      <w:r w:rsidRPr="00C114D1">
        <w:rPr>
          <w:rFonts w:ascii="Times New Roman" w:hAnsi="Times New Roman" w:cs="Times New Roman"/>
          <w:sz w:val="24"/>
          <w:szCs w:val="24"/>
          <w:lang w:eastAsia="el-GR"/>
        </w:rPr>
        <w:t xml:space="preserve"> (εργασίες ανύψωσης και μεταφοράς φορτίων ή προσώπων),</w:t>
      </w:r>
      <w:r w:rsidRPr="00C114D1">
        <w:rPr>
          <w:rFonts w:ascii="Times New Roman" w:hAnsi="Times New Roman" w:cs="Times New Roman"/>
          <w:b/>
          <w:bCs/>
          <w:color w:val="2F5496" w:themeColor="accent1" w:themeShade="BF"/>
          <w:sz w:val="24"/>
          <w:szCs w:val="24"/>
          <w:lang w:eastAsia="el-GR"/>
        </w:rPr>
        <w:t xml:space="preserve"> με συνολική ισχύ κινητήρων άνω των δέκα (10) </w:t>
      </w:r>
      <w:proofErr w:type="spellStart"/>
      <w:r w:rsidRPr="00C114D1">
        <w:rPr>
          <w:rFonts w:ascii="Times New Roman" w:hAnsi="Times New Roman" w:cs="Times New Roman"/>
          <w:b/>
          <w:bCs/>
          <w:color w:val="2F5496" w:themeColor="accent1" w:themeShade="BF"/>
          <w:sz w:val="24"/>
          <w:szCs w:val="24"/>
          <w:lang w:eastAsia="el-GR"/>
        </w:rPr>
        <w:t>kw</w:t>
      </w:r>
      <w:proofErr w:type="spellEnd"/>
      <w:r w:rsidRPr="00C114D1">
        <w:rPr>
          <w:rFonts w:ascii="Times New Roman" w:hAnsi="Times New Roman" w:cs="Times New Roman"/>
          <w:b/>
          <w:bCs/>
          <w:color w:val="2F5496" w:themeColor="accent1" w:themeShade="BF"/>
          <w:sz w:val="24"/>
          <w:szCs w:val="24"/>
          <w:lang w:eastAsia="el-GR"/>
        </w:rPr>
        <w:t xml:space="preserve"> και </w:t>
      </w:r>
      <w:r w:rsidRPr="00C114D1">
        <w:rPr>
          <w:rFonts w:ascii="Times New Roman" w:hAnsi="Times New Roman" w:cs="Times New Roman"/>
          <w:b/>
          <w:bCs/>
          <w:color w:val="2F5496" w:themeColor="accent1" w:themeShade="BF"/>
          <w:sz w:val="24"/>
          <w:szCs w:val="24"/>
          <w:u w:val="single"/>
          <w:lang w:eastAsia="el-GR"/>
        </w:rPr>
        <w:t xml:space="preserve">μέγιστη ανυψωτική ικανότητα έως δύο χιλιάδων πεντακοσίων (2.500) </w:t>
      </w:r>
      <w:proofErr w:type="spellStart"/>
      <w:r w:rsidRPr="00C114D1">
        <w:rPr>
          <w:rFonts w:ascii="Times New Roman" w:hAnsi="Times New Roman" w:cs="Times New Roman"/>
          <w:b/>
          <w:bCs/>
          <w:color w:val="2F5496" w:themeColor="accent1" w:themeShade="BF"/>
          <w:sz w:val="24"/>
          <w:szCs w:val="24"/>
          <w:u w:val="single"/>
          <w:lang w:eastAsia="el-GR"/>
        </w:rPr>
        <w:t>kgr</w:t>
      </w:r>
      <w:proofErr w:type="spellEnd"/>
      <w:r w:rsidRPr="00C114D1">
        <w:rPr>
          <w:rFonts w:ascii="Times New Roman" w:hAnsi="Times New Roman" w:cs="Times New Roman"/>
          <w:sz w:val="24"/>
          <w:szCs w:val="24"/>
          <w:lang w:eastAsia="el-GR"/>
        </w:rPr>
        <w:t>. Η κατάρτιση των εργαζομένων αφορά στην παρακολούθηση εξειδικευμένων προγραμμάτων θεωρητικής και πρακτικής κατάρτισης, των οποίων οι στόχοι, η διάρκεια, το περιεχόμενο, οι απαιτήσεις ως προς τους εκπαιδευτές και η διαδικασία εξέτασης καθορίζονται με την ως άνω απόφαση. Το Σχήμα Πιστοποίησης, εκτός από την υποχρεωτική κατάρτιση, είναι δυνατό να προβλέπει, ως συμπληρωματική απαίτηση, προηγούμενη επαγγελματική εμπειρία.</w:t>
      </w:r>
    </w:p>
    <w:p w14:paraId="12AFBF24" w14:textId="77777777" w:rsidR="00C114D1" w:rsidRPr="00C114D1" w:rsidRDefault="00C114D1" w:rsidP="00C114D1">
      <w:pPr>
        <w:spacing w:after="120" w:line="288" w:lineRule="auto"/>
        <w:ind w:left="284" w:right="259"/>
        <w:jc w:val="both"/>
        <w:rPr>
          <w:rFonts w:ascii="Times New Roman" w:hAnsi="Times New Roman" w:cs="Times New Roman"/>
          <w:b/>
          <w:bCs/>
          <w:sz w:val="24"/>
          <w:szCs w:val="24"/>
          <w:lang w:eastAsia="el-GR"/>
        </w:rPr>
      </w:pPr>
      <w:r w:rsidRPr="00C114D1">
        <w:rPr>
          <w:rFonts w:ascii="Times New Roman" w:hAnsi="Times New Roman" w:cs="Times New Roman"/>
          <w:b/>
          <w:bCs/>
          <w:sz w:val="24"/>
          <w:szCs w:val="24"/>
          <w:lang w:eastAsia="el-GR"/>
        </w:rPr>
        <w:t>Η πιστοποίηση τεχνικής επάρκειας και η λήψη άδειας χειρισμού</w:t>
      </w:r>
      <w:r w:rsidRPr="00C114D1">
        <w:rPr>
          <w:rFonts w:ascii="Times New Roman" w:hAnsi="Times New Roman" w:cs="Times New Roman"/>
          <w:sz w:val="24"/>
          <w:szCs w:val="24"/>
          <w:lang w:eastAsia="el-GR"/>
        </w:rPr>
        <w:t>, ως τρόποι άσκησης επαγγελματικής δραστηριότητας του</w:t>
      </w:r>
      <w:r w:rsidRPr="00C114D1">
        <w:rPr>
          <w:rFonts w:ascii="Times New Roman" w:hAnsi="Times New Roman" w:cs="Times New Roman"/>
          <w:b/>
          <w:bCs/>
          <w:sz w:val="24"/>
          <w:szCs w:val="24"/>
          <w:lang w:eastAsia="el-GR"/>
        </w:rPr>
        <w:t xml:space="preserve"> </w:t>
      </w:r>
      <w:r w:rsidRPr="00C114D1">
        <w:rPr>
          <w:rFonts w:ascii="Times New Roman" w:hAnsi="Times New Roman" w:cs="Times New Roman"/>
          <w:color w:val="000000" w:themeColor="text1"/>
          <w:sz w:val="24"/>
          <w:szCs w:val="24"/>
          <w:lang w:eastAsia="el-GR"/>
        </w:rPr>
        <w:t xml:space="preserve">χειρισμού μηχανημάτων έργου που κατατάσσονται στην «ειδικότητα 2» </w:t>
      </w:r>
      <w:r w:rsidRPr="00C114D1">
        <w:rPr>
          <w:rFonts w:ascii="Times New Roman" w:hAnsi="Times New Roman" w:cs="Times New Roman"/>
          <w:sz w:val="24"/>
          <w:szCs w:val="24"/>
          <w:lang w:eastAsia="el-GR"/>
        </w:rPr>
        <w:t>(εργασίες ανύψωσης και μεταφοράς φορτίων ή προσώπων)</w:t>
      </w:r>
      <w:r w:rsidRPr="00C114D1">
        <w:rPr>
          <w:rFonts w:ascii="Times New Roman" w:hAnsi="Times New Roman" w:cs="Times New Roman"/>
          <w:color w:val="000000" w:themeColor="text1"/>
          <w:sz w:val="24"/>
          <w:szCs w:val="24"/>
          <w:lang w:eastAsia="el-GR"/>
        </w:rPr>
        <w:t xml:space="preserve">, με συνολική ισχύ κινητήρων άνω των δέκα (10) </w:t>
      </w:r>
      <w:proofErr w:type="spellStart"/>
      <w:r w:rsidRPr="00C114D1">
        <w:rPr>
          <w:rFonts w:ascii="Times New Roman" w:hAnsi="Times New Roman" w:cs="Times New Roman"/>
          <w:color w:val="000000" w:themeColor="text1"/>
          <w:sz w:val="24"/>
          <w:szCs w:val="24"/>
          <w:lang w:eastAsia="el-GR"/>
        </w:rPr>
        <w:t>kw</w:t>
      </w:r>
      <w:proofErr w:type="spellEnd"/>
      <w:r w:rsidRPr="00C114D1">
        <w:rPr>
          <w:rFonts w:ascii="Times New Roman" w:hAnsi="Times New Roman" w:cs="Times New Roman"/>
          <w:color w:val="000000" w:themeColor="text1"/>
          <w:sz w:val="24"/>
          <w:szCs w:val="24"/>
          <w:lang w:eastAsia="el-GR"/>
        </w:rPr>
        <w:t xml:space="preserve"> και</w:t>
      </w:r>
      <w:r w:rsidRPr="00C114D1">
        <w:rPr>
          <w:rFonts w:ascii="Times New Roman" w:hAnsi="Times New Roman" w:cs="Times New Roman"/>
          <w:color w:val="000000" w:themeColor="text1"/>
          <w:sz w:val="24"/>
          <w:szCs w:val="24"/>
          <w:u w:val="single"/>
          <w:lang w:eastAsia="el-GR"/>
        </w:rPr>
        <w:t xml:space="preserve"> </w:t>
      </w:r>
      <w:r w:rsidRPr="00C114D1">
        <w:rPr>
          <w:rFonts w:ascii="Times New Roman" w:hAnsi="Times New Roman" w:cs="Times New Roman"/>
          <w:color w:val="000000" w:themeColor="text1"/>
          <w:sz w:val="24"/>
          <w:szCs w:val="24"/>
          <w:lang w:eastAsia="el-GR"/>
        </w:rPr>
        <w:t xml:space="preserve">μέγιστη ανυψωτική ικανότητα έως τεσσάρων χιλιάδων (4.000) </w:t>
      </w:r>
      <w:proofErr w:type="spellStart"/>
      <w:r w:rsidRPr="00C114D1">
        <w:rPr>
          <w:rFonts w:ascii="Times New Roman" w:hAnsi="Times New Roman" w:cs="Times New Roman"/>
          <w:color w:val="000000" w:themeColor="text1"/>
          <w:sz w:val="24"/>
          <w:szCs w:val="24"/>
          <w:lang w:eastAsia="el-GR"/>
        </w:rPr>
        <w:t>kgr</w:t>
      </w:r>
      <w:proofErr w:type="spellEnd"/>
      <w:r w:rsidRPr="00C114D1">
        <w:rPr>
          <w:rFonts w:ascii="Times New Roman" w:hAnsi="Times New Roman" w:cs="Times New Roman"/>
          <w:sz w:val="24"/>
          <w:szCs w:val="24"/>
          <w:lang w:eastAsia="el-GR"/>
        </w:rPr>
        <w:t xml:space="preserve">, </w:t>
      </w:r>
      <w:r w:rsidRPr="00C114D1">
        <w:rPr>
          <w:rFonts w:ascii="Times New Roman" w:hAnsi="Times New Roman" w:cs="Times New Roman"/>
          <w:b/>
          <w:bCs/>
          <w:sz w:val="24"/>
          <w:szCs w:val="24"/>
          <w:lang w:eastAsia="el-GR"/>
        </w:rPr>
        <w:t>θεωρούνται ισοδύναμοι.</w:t>
      </w:r>
    </w:p>
    <w:p w14:paraId="0D9B0462" w14:textId="77777777" w:rsidR="00C114D1" w:rsidRPr="00C114D1" w:rsidRDefault="00C114D1" w:rsidP="00C114D1">
      <w:pPr>
        <w:spacing w:after="120" w:line="288" w:lineRule="auto"/>
        <w:ind w:left="284" w:right="259"/>
        <w:jc w:val="both"/>
        <w:rPr>
          <w:rFonts w:ascii="Times New Roman" w:hAnsi="Times New Roman" w:cs="Times New Roman"/>
          <w:sz w:val="24"/>
          <w:szCs w:val="24"/>
          <w:lang w:eastAsia="el-GR"/>
        </w:rPr>
      </w:pPr>
      <w:r w:rsidRPr="00C114D1">
        <w:rPr>
          <w:rFonts w:ascii="Times New Roman" w:hAnsi="Times New Roman" w:cs="Times New Roman"/>
          <w:b/>
          <w:bCs/>
          <w:sz w:val="24"/>
          <w:szCs w:val="24"/>
          <w:lang w:eastAsia="el-GR"/>
        </w:rPr>
        <w:t xml:space="preserve">Η επαγγελματική εμπειρία ως προϋπόθεση για την άσκηση της επαγγελματικής δραστηριότητας του χειρισμού μηχανημάτων έργου για το σύνολο των ειδικοτήτων δύναται να αντικαθίσταται εν </w:t>
      </w:r>
      <w:proofErr w:type="spellStart"/>
      <w:r w:rsidRPr="00C114D1">
        <w:rPr>
          <w:rFonts w:ascii="Times New Roman" w:hAnsi="Times New Roman" w:cs="Times New Roman"/>
          <w:b/>
          <w:bCs/>
          <w:sz w:val="24"/>
          <w:szCs w:val="24"/>
          <w:lang w:eastAsia="el-GR"/>
        </w:rPr>
        <w:t>όλω</w:t>
      </w:r>
      <w:proofErr w:type="spellEnd"/>
      <w:r w:rsidRPr="00C114D1">
        <w:rPr>
          <w:rFonts w:ascii="Times New Roman" w:hAnsi="Times New Roman" w:cs="Times New Roman"/>
          <w:b/>
          <w:bCs/>
          <w:sz w:val="24"/>
          <w:szCs w:val="24"/>
          <w:lang w:eastAsia="el-GR"/>
        </w:rPr>
        <w:t xml:space="preserve"> ή εν μέρει με την παρακολούθηση ενός ή περισσοτέρων ειδικών προγραμμάτων επαγγελματικής </w:t>
      </w:r>
      <w:r w:rsidRPr="00C114D1">
        <w:rPr>
          <w:rFonts w:ascii="Times New Roman" w:hAnsi="Times New Roman" w:cs="Times New Roman"/>
          <w:b/>
          <w:bCs/>
          <w:sz w:val="24"/>
          <w:szCs w:val="24"/>
          <w:lang w:eastAsia="el-GR"/>
        </w:rPr>
        <w:lastRenderedPageBreak/>
        <w:t>κατάρτισης</w:t>
      </w:r>
      <w:r w:rsidRPr="00C114D1">
        <w:rPr>
          <w:rFonts w:ascii="Times New Roman" w:hAnsi="Times New Roman" w:cs="Times New Roman"/>
          <w:sz w:val="24"/>
          <w:szCs w:val="24"/>
          <w:lang w:eastAsia="el-GR"/>
        </w:rPr>
        <w:t>, που πληρούν τις γενικές και ειδικές προϋποθέσεις των άρθρων 9 και 11 του Π.Δ. 122/2014 (Α’ 196)</w:t>
      </w:r>
    </w:p>
    <w:p w14:paraId="2005FB75" w14:textId="77777777" w:rsidR="00C114D1" w:rsidRPr="00C114D1" w:rsidRDefault="00C114D1" w:rsidP="00C114D1">
      <w:pPr>
        <w:spacing w:after="120" w:line="288" w:lineRule="auto"/>
        <w:ind w:left="284" w:right="259"/>
        <w:jc w:val="both"/>
        <w:rPr>
          <w:rFonts w:ascii="Times New Roman" w:hAnsi="Times New Roman" w:cs="Times New Roman"/>
          <w:sz w:val="24"/>
          <w:szCs w:val="24"/>
          <w:lang w:eastAsia="el-GR"/>
        </w:rPr>
      </w:pPr>
      <w:r w:rsidRPr="00C114D1">
        <w:rPr>
          <w:rFonts w:ascii="Times New Roman" w:hAnsi="Times New Roman" w:cs="Times New Roman"/>
          <w:sz w:val="24"/>
          <w:szCs w:val="24"/>
          <w:lang w:eastAsia="el-GR"/>
        </w:rPr>
        <w:t xml:space="preserve">Η Γενική Γραμματεία Βιομηχανίας του Υπουργείου Ανάπτυξης και Επενδύσεων δύναται να σχεδιάσει, ανά ειδικότητα, πρότυπο ειδικό πρόγραμμα επαγγελματικής κατάρτισης για την αντικατάσταση προϋπηρεσίας που απαιτείται για την απόκτηση άδειας ή την πιστοποίηση του χειρισμού μηχανημάτων έργου. </w:t>
      </w:r>
      <w:r w:rsidRPr="00C114D1">
        <w:rPr>
          <w:rFonts w:ascii="Times New Roman" w:hAnsi="Times New Roman" w:cs="Times New Roman"/>
          <w:b/>
          <w:bCs/>
          <w:sz w:val="24"/>
          <w:szCs w:val="24"/>
          <w:lang w:eastAsia="el-GR"/>
        </w:rPr>
        <w:t xml:space="preserve">Το ειδικό πρόγραμμα κατάρτισης εγκρίνεται με απόφαση του Υπουργού Ανάπτυξης και Επενδύσεων. Στην ίδια απόφαση ρυθμίζεται και η ακριβής αντιστοίχιση της </w:t>
      </w:r>
      <w:proofErr w:type="spellStart"/>
      <w:r w:rsidRPr="00C114D1">
        <w:rPr>
          <w:rFonts w:ascii="Times New Roman" w:hAnsi="Times New Roman" w:cs="Times New Roman"/>
          <w:b/>
          <w:bCs/>
          <w:sz w:val="24"/>
          <w:szCs w:val="24"/>
          <w:lang w:eastAsia="el-GR"/>
        </w:rPr>
        <w:t>αποκτηθείσας</w:t>
      </w:r>
      <w:proofErr w:type="spellEnd"/>
      <w:r w:rsidRPr="00C114D1">
        <w:rPr>
          <w:rFonts w:ascii="Times New Roman" w:hAnsi="Times New Roman" w:cs="Times New Roman"/>
          <w:b/>
          <w:bCs/>
          <w:sz w:val="24"/>
          <w:szCs w:val="24"/>
          <w:lang w:eastAsia="el-GR"/>
        </w:rPr>
        <w:t xml:space="preserve"> τεχνικής επάρκειας μέσω του προγράμματος κατάρτισης με χρόνο προϋπηρεσίας».</w:t>
      </w:r>
      <w:r w:rsidRPr="00C114D1">
        <w:rPr>
          <w:rFonts w:ascii="Times New Roman" w:hAnsi="Times New Roman" w:cs="Times New Roman"/>
          <w:sz w:val="24"/>
          <w:szCs w:val="24"/>
          <w:lang w:eastAsia="el-GR"/>
        </w:rPr>
        <w:t xml:space="preserve"> </w:t>
      </w:r>
    </w:p>
    <w:p w14:paraId="208C8CB3" w14:textId="77777777" w:rsidR="00C114D1" w:rsidRPr="00C114D1" w:rsidRDefault="00C114D1" w:rsidP="00C114D1">
      <w:pPr>
        <w:pStyle w:val="aff2"/>
        <w:tabs>
          <w:tab w:val="left" w:pos="1093"/>
          <w:tab w:val="left" w:pos="2790"/>
          <w:tab w:val="left" w:pos="4544"/>
          <w:tab w:val="left" w:pos="5256"/>
          <w:tab w:val="left" w:pos="6373"/>
          <w:tab w:val="left" w:pos="6755"/>
          <w:tab w:val="left" w:pos="8580"/>
        </w:tabs>
        <w:spacing w:before="0" w:after="120" w:line="288" w:lineRule="auto"/>
        <w:ind w:left="284" w:right="259"/>
        <w:jc w:val="both"/>
        <w:rPr>
          <w:rFonts w:ascii="Times New Roman" w:hAnsi="Times New Roman" w:cs="Times New Roman"/>
          <w:position w:val="4"/>
        </w:rPr>
      </w:pPr>
    </w:p>
    <w:p w14:paraId="525958D7" w14:textId="77777777" w:rsidR="00C114D1" w:rsidRPr="00C114D1" w:rsidRDefault="00C114D1" w:rsidP="00C114D1">
      <w:pPr>
        <w:spacing w:after="120" w:line="288" w:lineRule="auto"/>
        <w:ind w:left="284" w:right="323"/>
        <w:jc w:val="both"/>
        <w:rPr>
          <w:rFonts w:ascii="Times New Roman" w:hAnsi="Times New Roman" w:cs="Times New Roman"/>
          <w:sz w:val="24"/>
          <w:szCs w:val="24"/>
        </w:rPr>
      </w:pPr>
    </w:p>
    <w:p w14:paraId="6251821B" w14:textId="77777777" w:rsidR="00962409" w:rsidRPr="00ED1475" w:rsidRDefault="00962409" w:rsidP="00962409">
      <w:pPr>
        <w:jc w:val="both"/>
        <w:rPr>
          <w:rFonts w:cstheme="minorHAnsi"/>
        </w:rPr>
      </w:pPr>
    </w:p>
    <w:p w14:paraId="293FF7A5" w14:textId="6BF92D82" w:rsidR="00962409" w:rsidRPr="00962409" w:rsidRDefault="00962409" w:rsidP="00962409">
      <w:pPr>
        <w:tabs>
          <w:tab w:val="left" w:pos="2880"/>
        </w:tabs>
      </w:pPr>
    </w:p>
    <w:sectPr w:rsidR="00962409" w:rsidRPr="00962409" w:rsidSect="007A2688">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E42A" w14:textId="77777777" w:rsidR="008116A6" w:rsidRDefault="008116A6" w:rsidP="00B35B16">
      <w:pPr>
        <w:spacing w:after="0" w:line="240" w:lineRule="auto"/>
      </w:pPr>
      <w:r>
        <w:separator/>
      </w:r>
    </w:p>
  </w:endnote>
  <w:endnote w:type="continuationSeparator" w:id="0">
    <w:p w14:paraId="2A0BEEFF" w14:textId="77777777" w:rsidR="008116A6" w:rsidRDefault="008116A6" w:rsidP="00B3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rsidR="00C114D1">
      <w:fldChar w:fldCharType="begin"/>
    </w:r>
    <w:r w:rsidR="00C114D1" w:rsidRPr="00C114D1">
      <w:rPr>
        <w:lang w:val="en-US"/>
      </w:rPr>
      <w:instrText>HYPERLINK "http://www.uhc.gr"</w:instrText>
    </w:r>
    <w:r w:rsidR="00C114D1">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sidR="00C114D1">
      <w:rPr>
        <w:rFonts w:ascii="Times New Roman" w:eastAsia="Times New Roman" w:hAnsi="Times New Roman" w:cs="Times New Roman"/>
        <w:b/>
        <w:bCs/>
        <w:color w:val="0000FF"/>
        <w:sz w:val="20"/>
        <w:szCs w:val="20"/>
        <w:u w:val="single"/>
        <w:lang w:val="de-DE"/>
      </w:rPr>
      <w:fldChar w:fldCharType="end"/>
    </w:r>
  </w:p>
  <w:p w14:paraId="3784F2D3" w14:textId="3CBEEB46" w:rsidR="00502C43" w:rsidRPr="00C24E3E" w:rsidRDefault="00502C43" w:rsidP="00C24E3E">
    <w:pPr>
      <w:pStyle w:val="a5"/>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rsidR="00C114D1">
      <w:fldChar w:fldCharType="begin"/>
    </w:r>
    <w:r w:rsidR="00C114D1" w:rsidRPr="00C114D1">
      <w:rPr>
        <w:lang w:val="en-US"/>
      </w:rPr>
      <w:instrText>HYPERLINK "http://www.uhc.gr"</w:instrText>
    </w:r>
    <w:r w:rsidR="00C114D1">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sidR="00C114D1">
      <w:rPr>
        <w:rFonts w:ascii="Times New Roman" w:eastAsia="Times New Roman" w:hAnsi="Times New Roman" w:cs="Times New Roman"/>
        <w:b/>
        <w:bCs/>
        <w:color w:val="0000FF"/>
        <w:sz w:val="20"/>
        <w:szCs w:val="20"/>
        <w:u w:val="single"/>
        <w:lang w:val="de-DE"/>
      </w:rPr>
      <w:fldChar w:fldCharType="end"/>
    </w:r>
  </w:p>
  <w:p w14:paraId="6184BFCC" w14:textId="77777777" w:rsidR="00C24E3E" w:rsidRPr="00C24E3E" w:rsidRDefault="00C24E3E" w:rsidP="00C24E3E">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1986" w14:textId="77777777" w:rsidR="008116A6" w:rsidRDefault="008116A6" w:rsidP="00B35B16">
      <w:pPr>
        <w:spacing w:after="0" w:line="240" w:lineRule="auto"/>
      </w:pPr>
      <w:r>
        <w:separator/>
      </w:r>
    </w:p>
  </w:footnote>
  <w:footnote w:type="continuationSeparator" w:id="0">
    <w:p w14:paraId="57B161DA" w14:textId="77777777" w:rsidR="008116A6" w:rsidRDefault="008116A6" w:rsidP="00B35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B5B6" w14:textId="7CA2D686"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B25" w14:textId="77777777"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4D05F20"/>
    <w:multiLevelType w:val="multilevel"/>
    <w:tmpl w:val="4EDE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3" w15:restartNumberingAfterBreak="0">
    <w:nsid w:val="0A435D30"/>
    <w:multiLevelType w:val="multilevel"/>
    <w:tmpl w:val="A406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D7A55"/>
    <w:multiLevelType w:val="hybridMultilevel"/>
    <w:tmpl w:val="6EA400D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5"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A270715"/>
    <w:multiLevelType w:val="hybridMultilevel"/>
    <w:tmpl w:val="A51211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9" w15:restartNumberingAfterBreak="0">
    <w:nsid w:val="29C34BE3"/>
    <w:multiLevelType w:val="hybridMultilevel"/>
    <w:tmpl w:val="2E8C370E"/>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0"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3113523F"/>
    <w:multiLevelType w:val="hybridMultilevel"/>
    <w:tmpl w:val="EB3C0C3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2" w15:restartNumberingAfterBreak="0">
    <w:nsid w:val="33B02A10"/>
    <w:multiLevelType w:val="hybridMultilevel"/>
    <w:tmpl w:val="B1B856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9922807"/>
    <w:multiLevelType w:val="multilevel"/>
    <w:tmpl w:val="B70A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16"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C467C4E"/>
    <w:multiLevelType w:val="multilevel"/>
    <w:tmpl w:val="02E0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C85F05"/>
    <w:multiLevelType w:val="multilevel"/>
    <w:tmpl w:val="1ED6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7E5246"/>
    <w:multiLevelType w:val="hybridMultilevel"/>
    <w:tmpl w:val="49860128"/>
    <w:lvl w:ilvl="0" w:tplc="625AAF94">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29055806">
    <w:abstractNumId w:val="13"/>
  </w:num>
  <w:num w:numId="2" w16cid:durableId="371459961">
    <w:abstractNumId w:val="5"/>
  </w:num>
  <w:num w:numId="3" w16cid:durableId="1357344649">
    <w:abstractNumId w:val="10"/>
  </w:num>
  <w:num w:numId="4" w16cid:durableId="165287051">
    <w:abstractNumId w:val="16"/>
  </w:num>
  <w:num w:numId="5" w16cid:durableId="1918586719">
    <w:abstractNumId w:val="6"/>
  </w:num>
  <w:num w:numId="6" w16cid:durableId="506793637">
    <w:abstractNumId w:val="0"/>
  </w:num>
  <w:num w:numId="7" w16cid:durableId="845632189">
    <w:abstractNumId w:val="15"/>
  </w:num>
  <w:num w:numId="8" w16cid:durableId="312219290">
    <w:abstractNumId w:val="8"/>
  </w:num>
  <w:num w:numId="9" w16cid:durableId="1597982927">
    <w:abstractNumId w:val="2"/>
  </w:num>
  <w:num w:numId="10" w16cid:durableId="525680824">
    <w:abstractNumId w:val="17"/>
  </w:num>
  <w:num w:numId="11" w16cid:durableId="335807356">
    <w:abstractNumId w:val="9"/>
  </w:num>
  <w:num w:numId="12" w16cid:durableId="1248346245">
    <w:abstractNumId w:val="4"/>
  </w:num>
  <w:num w:numId="13" w16cid:durableId="22827844">
    <w:abstractNumId w:val="18"/>
  </w:num>
  <w:num w:numId="14" w16cid:durableId="342165774">
    <w:abstractNumId w:val="19"/>
  </w:num>
  <w:num w:numId="15" w16cid:durableId="323708305">
    <w:abstractNumId w:val="1"/>
  </w:num>
  <w:num w:numId="16" w16cid:durableId="998580256">
    <w:abstractNumId w:val="3"/>
  </w:num>
  <w:num w:numId="17" w16cid:durableId="432092923">
    <w:abstractNumId w:val="14"/>
  </w:num>
  <w:num w:numId="18" w16cid:durableId="2022848992">
    <w:abstractNumId w:val="7"/>
  </w:num>
  <w:num w:numId="19" w16cid:durableId="1719934319">
    <w:abstractNumId w:val="12"/>
  </w:num>
  <w:num w:numId="20" w16cid:durableId="1765882134">
    <w:abstractNumId w:val="11"/>
  </w:num>
  <w:num w:numId="21" w16cid:durableId="42920661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24D66"/>
    <w:rsid w:val="00026D19"/>
    <w:rsid w:val="00032BC2"/>
    <w:rsid w:val="0005592B"/>
    <w:rsid w:val="0006333A"/>
    <w:rsid w:val="00070142"/>
    <w:rsid w:val="00071628"/>
    <w:rsid w:val="00072BA8"/>
    <w:rsid w:val="00084647"/>
    <w:rsid w:val="00085448"/>
    <w:rsid w:val="000861D9"/>
    <w:rsid w:val="00093E31"/>
    <w:rsid w:val="000975A1"/>
    <w:rsid w:val="000A0120"/>
    <w:rsid w:val="000B4417"/>
    <w:rsid w:val="000C70D6"/>
    <w:rsid w:val="000D5972"/>
    <w:rsid w:val="000E2774"/>
    <w:rsid w:val="000E415A"/>
    <w:rsid w:val="000F266E"/>
    <w:rsid w:val="000F7EFD"/>
    <w:rsid w:val="0010088F"/>
    <w:rsid w:val="00111E09"/>
    <w:rsid w:val="001140DB"/>
    <w:rsid w:val="00116B9F"/>
    <w:rsid w:val="001243BD"/>
    <w:rsid w:val="00124D70"/>
    <w:rsid w:val="00126C95"/>
    <w:rsid w:val="00134CCE"/>
    <w:rsid w:val="00137E31"/>
    <w:rsid w:val="0015317E"/>
    <w:rsid w:val="00161125"/>
    <w:rsid w:val="0016124F"/>
    <w:rsid w:val="001622B4"/>
    <w:rsid w:val="00167242"/>
    <w:rsid w:val="001755B3"/>
    <w:rsid w:val="0017646D"/>
    <w:rsid w:val="00176E93"/>
    <w:rsid w:val="00184D58"/>
    <w:rsid w:val="0019444A"/>
    <w:rsid w:val="001A1B01"/>
    <w:rsid w:val="001A36D2"/>
    <w:rsid w:val="001A4FB1"/>
    <w:rsid w:val="001B15BA"/>
    <w:rsid w:val="001B273B"/>
    <w:rsid w:val="001B2B4D"/>
    <w:rsid w:val="001B6781"/>
    <w:rsid w:val="001C49CA"/>
    <w:rsid w:val="001C64C2"/>
    <w:rsid w:val="001D157F"/>
    <w:rsid w:val="001D6A94"/>
    <w:rsid w:val="001D7EE8"/>
    <w:rsid w:val="001E047C"/>
    <w:rsid w:val="001E34A8"/>
    <w:rsid w:val="001E3F9F"/>
    <w:rsid w:val="001E7357"/>
    <w:rsid w:val="001F3116"/>
    <w:rsid w:val="001F48C8"/>
    <w:rsid w:val="001F66DA"/>
    <w:rsid w:val="0020140A"/>
    <w:rsid w:val="00203D9D"/>
    <w:rsid w:val="00210B55"/>
    <w:rsid w:val="002137A5"/>
    <w:rsid w:val="002158F9"/>
    <w:rsid w:val="00220810"/>
    <w:rsid w:val="0022466A"/>
    <w:rsid w:val="002270A5"/>
    <w:rsid w:val="002314B1"/>
    <w:rsid w:val="00231BB0"/>
    <w:rsid w:val="00234A1D"/>
    <w:rsid w:val="0024249F"/>
    <w:rsid w:val="00243770"/>
    <w:rsid w:val="00250E3B"/>
    <w:rsid w:val="00266031"/>
    <w:rsid w:val="00272825"/>
    <w:rsid w:val="002768D4"/>
    <w:rsid w:val="00280286"/>
    <w:rsid w:val="0028049E"/>
    <w:rsid w:val="002878BE"/>
    <w:rsid w:val="00292052"/>
    <w:rsid w:val="002A134F"/>
    <w:rsid w:val="002A207E"/>
    <w:rsid w:val="002A707A"/>
    <w:rsid w:val="002B204B"/>
    <w:rsid w:val="002C3AFB"/>
    <w:rsid w:val="002C5D47"/>
    <w:rsid w:val="002D7D6A"/>
    <w:rsid w:val="002E4A4D"/>
    <w:rsid w:val="002E4A80"/>
    <w:rsid w:val="002E4BB0"/>
    <w:rsid w:val="002F2292"/>
    <w:rsid w:val="002F3E4D"/>
    <w:rsid w:val="003062DC"/>
    <w:rsid w:val="003106B6"/>
    <w:rsid w:val="00321021"/>
    <w:rsid w:val="0032576E"/>
    <w:rsid w:val="00330315"/>
    <w:rsid w:val="00332ADC"/>
    <w:rsid w:val="003336A7"/>
    <w:rsid w:val="00335CF3"/>
    <w:rsid w:val="003408D0"/>
    <w:rsid w:val="00347D1C"/>
    <w:rsid w:val="00363A6F"/>
    <w:rsid w:val="003661BE"/>
    <w:rsid w:val="00371295"/>
    <w:rsid w:val="003725BA"/>
    <w:rsid w:val="0037551F"/>
    <w:rsid w:val="00382489"/>
    <w:rsid w:val="00384361"/>
    <w:rsid w:val="00393248"/>
    <w:rsid w:val="00393D26"/>
    <w:rsid w:val="00394679"/>
    <w:rsid w:val="00395427"/>
    <w:rsid w:val="00396B63"/>
    <w:rsid w:val="003A1296"/>
    <w:rsid w:val="003A57FE"/>
    <w:rsid w:val="003A7925"/>
    <w:rsid w:val="003B3E78"/>
    <w:rsid w:val="003B3FEB"/>
    <w:rsid w:val="003B5715"/>
    <w:rsid w:val="003B5C89"/>
    <w:rsid w:val="003B6A0D"/>
    <w:rsid w:val="003C45ED"/>
    <w:rsid w:val="003D310A"/>
    <w:rsid w:val="003E1B61"/>
    <w:rsid w:val="003F0EB7"/>
    <w:rsid w:val="003F1645"/>
    <w:rsid w:val="00403820"/>
    <w:rsid w:val="0040778F"/>
    <w:rsid w:val="00410E53"/>
    <w:rsid w:val="00417EFF"/>
    <w:rsid w:val="00420B9D"/>
    <w:rsid w:val="00424595"/>
    <w:rsid w:val="00425367"/>
    <w:rsid w:val="00431155"/>
    <w:rsid w:val="00432D53"/>
    <w:rsid w:val="004362C0"/>
    <w:rsid w:val="004435E2"/>
    <w:rsid w:val="004450A2"/>
    <w:rsid w:val="0044511D"/>
    <w:rsid w:val="00450338"/>
    <w:rsid w:val="00453E82"/>
    <w:rsid w:val="00454190"/>
    <w:rsid w:val="004554D3"/>
    <w:rsid w:val="00455619"/>
    <w:rsid w:val="004660CC"/>
    <w:rsid w:val="00467942"/>
    <w:rsid w:val="004818BC"/>
    <w:rsid w:val="004A6724"/>
    <w:rsid w:val="004A6A3D"/>
    <w:rsid w:val="004A6C61"/>
    <w:rsid w:val="004D29AA"/>
    <w:rsid w:val="004D3A1D"/>
    <w:rsid w:val="004D4457"/>
    <w:rsid w:val="004D6235"/>
    <w:rsid w:val="004D7F8C"/>
    <w:rsid w:val="004E0017"/>
    <w:rsid w:val="004E555F"/>
    <w:rsid w:val="004E58FF"/>
    <w:rsid w:val="004E663D"/>
    <w:rsid w:val="004F22C4"/>
    <w:rsid w:val="004F700A"/>
    <w:rsid w:val="0050081B"/>
    <w:rsid w:val="00500A24"/>
    <w:rsid w:val="00501A2E"/>
    <w:rsid w:val="00502C43"/>
    <w:rsid w:val="00502DBC"/>
    <w:rsid w:val="00511EEC"/>
    <w:rsid w:val="00526911"/>
    <w:rsid w:val="00527327"/>
    <w:rsid w:val="00527DB2"/>
    <w:rsid w:val="005330F4"/>
    <w:rsid w:val="005355C4"/>
    <w:rsid w:val="00554204"/>
    <w:rsid w:val="00567FD9"/>
    <w:rsid w:val="00570024"/>
    <w:rsid w:val="00574F7A"/>
    <w:rsid w:val="00582AF9"/>
    <w:rsid w:val="00590AE5"/>
    <w:rsid w:val="005A575E"/>
    <w:rsid w:val="005A6235"/>
    <w:rsid w:val="005B3109"/>
    <w:rsid w:val="005C5CE1"/>
    <w:rsid w:val="005D0AC4"/>
    <w:rsid w:val="005D153D"/>
    <w:rsid w:val="005D1E7A"/>
    <w:rsid w:val="005D2860"/>
    <w:rsid w:val="005D35C0"/>
    <w:rsid w:val="005D6211"/>
    <w:rsid w:val="005D799E"/>
    <w:rsid w:val="005E0141"/>
    <w:rsid w:val="005E3A58"/>
    <w:rsid w:val="005F11F0"/>
    <w:rsid w:val="005F1A6E"/>
    <w:rsid w:val="005F3A9A"/>
    <w:rsid w:val="005F6ABA"/>
    <w:rsid w:val="005F731C"/>
    <w:rsid w:val="00602D13"/>
    <w:rsid w:val="00607024"/>
    <w:rsid w:val="006117ED"/>
    <w:rsid w:val="00623DDD"/>
    <w:rsid w:val="00623F7B"/>
    <w:rsid w:val="006266A4"/>
    <w:rsid w:val="00627FD4"/>
    <w:rsid w:val="0063309C"/>
    <w:rsid w:val="00634801"/>
    <w:rsid w:val="00642507"/>
    <w:rsid w:val="00647561"/>
    <w:rsid w:val="006526B1"/>
    <w:rsid w:val="006633EF"/>
    <w:rsid w:val="006660E5"/>
    <w:rsid w:val="00667BF1"/>
    <w:rsid w:val="00673E0B"/>
    <w:rsid w:val="006828C2"/>
    <w:rsid w:val="00694595"/>
    <w:rsid w:val="006A0743"/>
    <w:rsid w:val="006A1743"/>
    <w:rsid w:val="006A3640"/>
    <w:rsid w:val="006A4C13"/>
    <w:rsid w:val="006B2F64"/>
    <w:rsid w:val="006C0368"/>
    <w:rsid w:val="006C29FE"/>
    <w:rsid w:val="006C5E39"/>
    <w:rsid w:val="006D6914"/>
    <w:rsid w:val="006E55FA"/>
    <w:rsid w:val="006F4085"/>
    <w:rsid w:val="006F4E7D"/>
    <w:rsid w:val="00703CD6"/>
    <w:rsid w:val="00704482"/>
    <w:rsid w:val="0071040B"/>
    <w:rsid w:val="00757A4B"/>
    <w:rsid w:val="00780B22"/>
    <w:rsid w:val="0078110B"/>
    <w:rsid w:val="007A246D"/>
    <w:rsid w:val="007A2688"/>
    <w:rsid w:val="007E0537"/>
    <w:rsid w:val="007E6C20"/>
    <w:rsid w:val="007E780C"/>
    <w:rsid w:val="007F2485"/>
    <w:rsid w:val="007F415A"/>
    <w:rsid w:val="008043E8"/>
    <w:rsid w:val="008116A6"/>
    <w:rsid w:val="0081353A"/>
    <w:rsid w:val="00815935"/>
    <w:rsid w:val="00816BA3"/>
    <w:rsid w:val="008171DE"/>
    <w:rsid w:val="00826082"/>
    <w:rsid w:val="00826397"/>
    <w:rsid w:val="00826F84"/>
    <w:rsid w:val="00833526"/>
    <w:rsid w:val="00835A4E"/>
    <w:rsid w:val="00841407"/>
    <w:rsid w:val="00842C17"/>
    <w:rsid w:val="00850DCC"/>
    <w:rsid w:val="00852C9E"/>
    <w:rsid w:val="0086051F"/>
    <w:rsid w:val="00863901"/>
    <w:rsid w:val="00866EB2"/>
    <w:rsid w:val="00872CC5"/>
    <w:rsid w:val="008814A3"/>
    <w:rsid w:val="008860D6"/>
    <w:rsid w:val="0089105B"/>
    <w:rsid w:val="008A0F61"/>
    <w:rsid w:val="008A1AAB"/>
    <w:rsid w:val="008A2612"/>
    <w:rsid w:val="008C7FB8"/>
    <w:rsid w:val="008D455D"/>
    <w:rsid w:val="008E0373"/>
    <w:rsid w:val="008E1C68"/>
    <w:rsid w:val="008F30FC"/>
    <w:rsid w:val="008F3F4D"/>
    <w:rsid w:val="00900268"/>
    <w:rsid w:val="00901C3D"/>
    <w:rsid w:val="0090537E"/>
    <w:rsid w:val="00911946"/>
    <w:rsid w:val="00921467"/>
    <w:rsid w:val="00921BA9"/>
    <w:rsid w:val="009368D6"/>
    <w:rsid w:val="00937766"/>
    <w:rsid w:val="00937B6C"/>
    <w:rsid w:val="00947F31"/>
    <w:rsid w:val="009507B0"/>
    <w:rsid w:val="009528E7"/>
    <w:rsid w:val="00952FF7"/>
    <w:rsid w:val="00955863"/>
    <w:rsid w:val="00955A96"/>
    <w:rsid w:val="00960CF3"/>
    <w:rsid w:val="00962409"/>
    <w:rsid w:val="00966E74"/>
    <w:rsid w:val="00966F22"/>
    <w:rsid w:val="009670BC"/>
    <w:rsid w:val="00967277"/>
    <w:rsid w:val="0096773B"/>
    <w:rsid w:val="00972026"/>
    <w:rsid w:val="0099170E"/>
    <w:rsid w:val="00991B80"/>
    <w:rsid w:val="009A4015"/>
    <w:rsid w:val="009B7C6F"/>
    <w:rsid w:val="009C11A4"/>
    <w:rsid w:val="009D220D"/>
    <w:rsid w:val="009D2423"/>
    <w:rsid w:val="009D58D8"/>
    <w:rsid w:val="009D61C2"/>
    <w:rsid w:val="009E31EC"/>
    <w:rsid w:val="009E43A6"/>
    <w:rsid w:val="009E775A"/>
    <w:rsid w:val="009F4134"/>
    <w:rsid w:val="00A00807"/>
    <w:rsid w:val="00A04774"/>
    <w:rsid w:val="00A059A5"/>
    <w:rsid w:val="00A05BE4"/>
    <w:rsid w:val="00A05EA5"/>
    <w:rsid w:val="00A166E6"/>
    <w:rsid w:val="00A2405E"/>
    <w:rsid w:val="00A25152"/>
    <w:rsid w:val="00A40861"/>
    <w:rsid w:val="00A5048D"/>
    <w:rsid w:val="00A55F3B"/>
    <w:rsid w:val="00A57E57"/>
    <w:rsid w:val="00A61418"/>
    <w:rsid w:val="00A616D5"/>
    <w:rsid w:val="00A6208F"/>
    <w:rsid w:val="00A63FC3"/>
    <w:rsid w:val="00A65FD1"/>
    <w:rsid w:val="00A66E5E"/>
    <w:rsid w:val="00A8612B"/>
    <w:rsid w:val="00A86704"/>
    <w:rsid w:val="00A87FC5"/>
    <w:rsid w:val="00AA074B"/>
    <w:rsid w:val="00AA0AE0"/>
    <w:rsid w:val="00AA40F1"/>
    <w:rsid w:val="00AD6A20"/>
    <w:rsid w:val="00B0638E"/>
    <w:rsid w:val="00B06ACC"/>
    <w:rsid w:val="00B10EDB"/>
    <w:rsid w:val="00B13570"/>
    <w:rsid w:val="00B1396B"/>
    <w:rsid w:val="00B13AFB"/>
    <w:rsid w:val="00B143FA"/>
    <w:rsid w:val="00B20797"/>
    <w:rsid w:val="00B22CB3"/>
    <w:rsid w:val="00B2398F"/>
    <w:rsid w:val="00B24F0E"/>
    <w:rsid w:val="00B2753F"/>
    <w:rsid w:val="00B35B16"/>
    <w:rsid w:val="00B47E58"/>
    <w:rsid w:val="00B53DD3"/>
    <w:rsid w:val="00B547DA"/>
    <w:rsid w:val="00B63FD4"/>
    <w:rsid w:val="00B72C82"/>
    <w:rsid w:val="00B72FCD"/>
    <w:rsid w:val="00B73F34"/>
    <w:rsid w:val="00B85F8B"/>
    <w:rsid w:val="00B8775E"/>
    <w:rsid w:val="00BA5DA2"/>
    <w:rsid w:val="00BB1C39"/>
    <w:rsid w:val="00BC2E92"/>
    <w:rsid w:val="00BD099A"/>
    <w:rsid w:val="00BD794E"/>
    <w:rsid w:val="00BE0AE4"/>
    <w:rsid w:val="00BF6EDD"/>
    <w:rsid w:val="00C001A5"/>
    <w:rsid w:val="00C02415"/>
    <w:rsid w:val="00C03BC8"/>
    <w:rsid w:val="00C10B0B"/>
    <w:rsid w:val="00C114D1"/>
    <w:rsid w:val="00C11F0C"/>
    <w:rsid w:val="00C142C6"/>
    <w:rsid w:val="00C240C6"/>
    <w:rsid w:val="00C24E3E"/>
    <w:rsid w:val="00C25780"/>
    <w:rsid w:val="00C2651F"/>
    <w:rsid w:val="00C26C37"/>
    <w:rsid w:val="00C3177A"/>
    <w:rsid w:val="00C33B14"/>
    <w:rsid w:val="00C468C0"/>
    <w:rsid w:val="00C64A56"/>
    <w:rsid w:val="00C67457"/>
    <w:rsid w:val="00C72160"/>
    <w:rsid w:val="00C72289"/>
    <w:rsid w:val="00C74719"/>
    <w:rsid w:val="00C81CA5"/>
    <w:rsid w:val="00C859FF"/>
    <w:rsid w:val="00C86AF8"/>
    <w:rsid w:val="00C86D19"/>
    <w:rsid w:val="00C93F3C"/>
    <w:rsid w:val="00C9666B"/>
    <w:rsid w:val="00C97ECF"/>
    <w:rsid w:val="00CA7D93"/>
    <w:rsid w:val="00CB218B"/>
    <w:rsid w:val="00CB37ED"/>
    <w:rsid w:val="00CB7685"/>
    <w:rsid w:val="00CC150C"/>
    <w:rsid w:val="00CC3BA7"/>
    <w:rsid w:val="00CC6D3A"/>
    <w:rsid w:val="00CD13ED"/>
    <w:rsid w:val="00CD612E"/>
    <w:rsid w:val="00CE2346"/>
    <w:rsid w:val="00CE4E27"/>
    <w:rsid w:val="00CE53B8"/>
    <w:rsid w:val="00CE626A"/>
    <w:rsid w:val="00CF0452"/>
    <w:rsid w:val="00CF7CFF"/>
    <w:rsid w:val="00D00A0F"/>
    <w:rsid w:val="00D04192"/>
    <w:rsid w:val="00D1028C"/>
    <w:rsid w:val="00D11331"/>
    <w:rsid w:val="00D1148C"/>
    <w:rsid w:val="00D12B8C"/>
    <w:rsid w:val="00D167A0"/>
    <w:rsid w:val="00D201B1"/>
    <w:rsid w:val="00D20402"/>
    <w:rsid w:val="00D235B4"/>
    <w:rsid w:val="00D35058"/>
    <w:rsid w:val="00D46B7E"/>
    <w:rsid w:val="00D47D7F"/>
    <w:rsid w:val="00D5057E"/>
    <w:rsid w:val="00D51BD0"/>
    <w:rsid w:val="00D51CF2"/>
    <w:rsid w:val="00D530EA"/>
    <w:rsid w:val="00D565BC"/>
    <w:rsid w:val="00D66DC9"/>
    <w:rsid w:val="00D77C19"/>
    <w:rsid w:val="00D804D8"/>
    <w:rsid w:val="00D8250C"/>
    <w:rsid w:val="00D82B7B"/>
    <w:rsid w:val="00D82DE7"/>
    <w:rsid w:val="00D840DB"/>
    <w:rsid w:val="00DA102A"/>
    <w:rsid w:val="00DC35B4"/>
    <w:rsid w:val="00DC4E9F"/>
    <w:rsid w:val="00DD1C4E"/>
    <w:rsid w:val="00DE38A6"/>
    <w:rsid w:val="00DF34C7"/>
    <w:rsid w:val="00DF5B5E"/>
    <w:rsid w:val="00E0127A"/>
    <w:rsid w:val="00E029C5"/>
    <w:rsid w:val="00E074FA"/>
    <w:rsid w:val="00E178A7"/>
    <w:rsid w:val="00E20350"/>
    <w:rsid w:val="00E25107"/>
    <w:rsid w:val="00E30D6C"/>
    <w:rsid w:val="00E3575B"/>
    <w:rsid w:val="00E41E84"/>
    <w:rsid w:val="00E42BE2"/>
    <w:rsid w:val="00E436F2"/>
    <w:rsid w:val="00E43F13"/>
    <w:rsid w:val="00E45736"/>
    <w:rsid w:val="00E45884"/>
    <w:rsid w:val="00E571BB"/>
    <w:rsid w:val="00E61544"/>
    <w:rsid w:val="00E620F6"/>
    <w:rsid w:val="00E65242"/>
    <w:rsid w:val="00E70D95"/>
    <w:rsid w:val="00E74CCD"/>
    <w:rsid w:val="00E82214"/>
    <w:rsid w:val="00E90FCC"/>
    <w:rsid w:val="00E926D0"/>
    <w:rsid w:val="00EA3FCC"/>
    <w:rsid w:val="00EA4EF1"/>
    <w:rsid w:val="00EA6457"/>
    <w:rsid w:val="00EB2D09"/>
    <w:rsid w:val="00EB5ACB"/>
    <w:rsid w:val="00EC0FE9"/>
    <w:rsid w:val="00EC344D"/>
    <w:rsid w:val="00ED27AB"/>
    <w:rsid w:val="00ED6064"/>
    <w:rsid w:val="00ED70F3"/>
    <w:rsid w:val="00F05D7D"/>
    <w:rsid w:val="00F0763B"/>
    <w:rsid w:val="00F169E3"/>
    <w:rsid w:val="00F20C36"/>
    <w:rsid w:val="00F25948"/>
    <w:rsid w:val="00F31069"/>
    <w:rsid w:val="00F3287B"/>
    <w:rsid w:val="00F350CD"/>
    <w:rsid w:val="00F359FA"/>
    <w:rsid w:val="00F35D9E"/>
    <w:rsid w:val="00F40687"/>
    <w:rsid w:val="00F41913"/>
    <w:rsid w:val="00F50D19"/>
    <w:rsid w:val="00F55FBC"/>
    <w:rsid w:val="00F57887"/>
    <w:rsid w:val="00F57DE5"/>
    <w:rsid w:val="00F60E67"/>
    <w:rsid w:val="00F6457B"/>
    <w:rsid w:val="00F71E3B"/>
    <w:rsid w:val="00F74539"/>
    <w:rsid w:val="00F75A83"/>
    <w:rsid w:val="00F86C31"/>
    <w:rsid w:val="00F87E21"/>
    <w:rsid w:val="00F95E3E"/>
    <w:rsid w:val="00F96C59"/>
    <w:rsid w:val="00FA304C"/>
    <w:rsid w:val="00FB39B6"/>
    <w:rsid w:val="00FB3DD6"/>
    <w:rsid w:val="00FC58D6"/>
    <w:rsid w:val="00FD0430"/>
    <w:rsid w:val="00FE1010"/>
    <w:rsid w:val="00FE2F4B"/>
    <w:rsid w:val="00FE3B5A"/>
    <w:rsid w:val="00FF1A4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5B16"/>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uiPriority w:val="1"/>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1"/>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B35B16"/>
    <w:pPr>
      <w:spacing w:after="120"/>
    </w:pPr>
  </w:style>
  <w:style w:type="character" w:customStyle="1" w:styleId="Char5">
    <w:name w:val="Σώμα κειμένου Char"/>
    <w:basedOn w:val="a1"/>
    <w:link w:val="af0"/>
    <w:rsid w:val="00B35B16"/>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
    <w:name w:val="Table Normal"/>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363A6F"/>
    <w:pPr>
      <w:widowControl w:val="0"/>
      <w:shd w:val="clear" w:color="auto" w:fill="F2F2F2" w:themeFill="background1" w:themeFillShade="F2"/>
      <w:tabs>
        <w:tab w:val="right" w:leader="dot" w:pos="10327"/>
      </w:tabs>
      <w:autoSpaceDE w:val="0"/>
      <w:autoSpaceDN w:val="0"/>
      <w:spacing w:before="120" w:after="120" w:line="240" w:lineRule="auto"/>
      <w:ind w:left="284" w:hanging="284"/>
    </w:pPr>
    <w:rPr>
      <w:rFonts w:ascii="Arial" w:eastAsia="Arial" w:hAnsi="Arial" w:cs="Arial"/>
      <w:b/>
      <w:bCs/>
      <w:noProof/>
    </w:rPr>
  </w:style>
  <w:style w:type="paragraph" w:styleId="26">
    <w:name w:val="toc 2"/>
    <w:basedOn w:val="a0"/>
    <w:next w:val="a0"/>
    <w:autoRedefine/>
    <w:uiPriority w:val="39"/>
    <w:unhideWhenUsed/>
    <w:rsid w:val="001E3F9F"/>
    <w:pPr>
      <w:widowControl w:val="0"/>
      <w:tabs>
        <w:tab w:val="right" w:leader="dot" w:pos="10327"/>
      </w:tabs>
      <w:autoSpaceDE w:val="0"/>
      <w:autoSpaceDN w:val="0"/>
      <w:spacing w:before="360" w:after="360" w:line="240" w:lineRule="auto"/>
      <w:ind w:left="568" w:hanging="284"/>
    </w:pPr>
    <w:rPr>
      <w:rFonts w:ascii="Arial" w:eastAsia="Arial" w:hAnsi="Arial" w:cs="Arial"/>
      <w:bCs/>
      <w:noProof/>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semiHidden/>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ce-bulgaria.eu/com/85_Programming-Period-2021-20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33</Pages>
  <Words>10016</Words>
  <Characters>54089</Characters>
  <Application>Microsoft Office Word</Application>
  <DocSecurity>0</DocSecurity>
  <Lines>450</Lines>
  <Paragraphs>127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user</cp:lastModifiedBy>
  <cp:revision>22</cp:revision>
  <cp:lastPrinted>2022-03-22T13:45:00Z</cp:lastPrinted>
  <dcterms:created xsi:type="dcterms:W3CDTF">2022-10-06T07:01:00Z</dcterms:created>
  <dcterms:modified xsi:type="dcterms:W3CDTF">2022-12-16T12:33:00Z</dcterms:modified>
</cp:coreProperties>
</file>