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8BA9" w14:textId="77777777" w:rsidR="00C65BFB" w:rsidRPr="0039391F" w:rsidRDefault="00C65BFB" w:rsidP="00C65BFB">
      <w:pPr>
        <w:jc w:val="center"/>
        <w:rPr>
          <w:rFonts w:ascii="Tahoma" w:hAnsi="Tahoma" w:cs="Tahoma"/>
          <w:b/>
        </w:rPr>
      </w:pPr>
      <w:r w:rsidRPr="0039391F">
        <w:rPr>
          <w:rFonts w:ascii="Tahoma" w:hAnsi="Tahoma" w:cs="Tahoma"/>
          <w:b/>
        </w:rPr>
        <w:t xml:space="preserve">ΕΠΙΜΕΛΗΤΗΡΙΟ </w:t>
      </w:r>
      <w:r>
        <w:rPr>
          <w:rFonts w:ascii="Tahoma" w:hAnsi="Tahoma" w:cs="Tahoma"/>
          <w:b/>
        </w:rPr>
        <w:t>ΧΙΟΥ</w:t>
      </w:r>
    </w:p>
    <w:p w14:paraId="60107A68" w14:textId="776CFDBF" w:rsidR="00C65BFB" w:rsidRPr="00D179F2" w:rsidRDefault="00C65BFB" w:rsidP="00C65BFB">
      <w:pPr>
        <w:jc w:val="center"/>
        <w:rPr>
          <w:rFonts w:ascii="Tahoma" w:hAnsi="Tahoma" w:cs="Tahoma"/>
          <w:b/>
        </w:rPr>
      </w:pPr>
      <w:r w:rsidRPr="0039391F">
        <w:rPr>
          <w:rFonts w:ascii="Tahoma" w:hAnsi="Tahoma" w:cs="Tahoma"/>
          <w:b/>
        </w:rPr>
        <w:t xml:space="preserve">ΔΙΚΑΙΟΛΟΓΗΤΙΚΑ ΓΙΑ ΤΗΝ </w:t>
      </w:r>
      <w:r>
        <w:rPr>
          <w:rFonts w:ascii="Tahoma" w:hAnsi="Tahoma" w:cs="Tahoma"/>
          <w:b/>
        </w:rPr>
        <w:t xml:space="preserve">ΑΝΑΝΕΩΣΗ ΑΔΕΙΑΣ </w:t>
      </w:r>
      <w:r w:rsidRPr="0039391F">
        <w:rPr>
          <w:rFonts w:ascii="Tahoma" w:hAnsi="Tahoma" w:cs="Tahoma"/>
          <w:b/>
        </w:rPr>
        <w:t xml:space="preserve"> </w:t>
      </w:r>
      <w:r>
        <w:rPr>
          <w:rFonts w:ascii="Tahoma" w:hAnsi="Tahoma" w:cs="Tahoma"/>
          <w:b/>
        </w:rPr>
        <w:t>ΑΣΦΑΛΙΣΤΙΚΟΥ ΠΡΑΚΤΟΡΑ</w:t>
      </w:r>
    </w:p>
    <w:p w14:paraId="7334CCF7" w14:textId="77777777" w:rsidR="00C65BFB" w:rsidRDefault="00C65BFB" w:rsidP="00C65BFB">
      <w:pPr>
        <w:jc w:val="center"/>
        <w:rPr>
          <w:rFonts w:ascii="Tahoma" w:hAnsi="Tahoma" w:cs="Tahoma"/>
          <w:b/>
        </w:rPr>
      </w:pPr>
      <w:r>
        <w:rPr>
          <w:rFonts w:ascii="Tahoma" w:hAnsi="Tahoma" w:cs="Tahoma"/>
          <w:b/>
        </w:rPr>
        <w:t>(άρθρο 21, Ν. 4583/2018 ΦΕΚ 212/Α/18.12.2018)</w:t>
      </w:r>
    </w:p>
    <w:p w14:paraId="4BA827E0" w14:textId="77777777" w:rsidR="00C65BFB" w:rsidRDefault="00C65BFB" w:rsidP="00C65BFB">
      <w:pPr>
        <w:jc w:val="center"/>
        <w:rPr>
          <w:rFonts w:ascii="Tahoma" w:hAnsi="Tahoma" w:cs="Tahoma"/>
          <w:b/>
        </w:rPr>
      </w:pPr>
    </w:p>
    <w:p w14:paraId="0D0E97DE" w14:textId="77777777" w:rsidR="00C65BFB" w:rsidRPr="007B0713" w:rsidRDefault="00C65BFB" w:rsidP="00C65BFB">
      <w:pPr>
        <w:jc w:val="center"/>
        <w:rPr>
          <w:rFonts w:ascii="Tahoma" w:hAnsi="Tahoma" w:cs="Tahoma"/>
          <w:b/>
          <w:sz w:val="22"/>
          <w:szCs w:val="22"/>
        </w:rPr>
      </w:pPr>
    </w:p>
    <w:p w14:paraId="03E4CAD0" w14:textId="77777777" w:rsidR="00C65BFB" w:rsidRPr="00C65BFB" w:rsidRDefault="00C65BFB" w:rsidP="00C65BFB">
      <w:pPr>
        <w:pStyle w:val="a3"/>
        <w:tabs>
          <w:tab w:val="clear" w:pos="4153"/>
          <w:tab w:val="clear" w:pos="8306"/>
        </w:tabs>
        <w:ind w:left="-1080"/>
        <w:jc w:val="both"/>
        <w:rPr>
          <w:rFonts w:ascii="Tahoma" w:hAnsi="Tahoma" w:cs="Tahoma"/>
          <w:b/>
          <w:sz w:val="22"/>
          <w:szCs w:val="22"/>
        </w:rPr>
      </w:pPr>
      <w:r w:rsidRPr="007B0713">
        <w:rPr>
          <w:rFonts w:ascii="Tahoma" w:hAnsi="Tahoma" w:cs="Tahoma"/>
          <w:b/>
          <w:sz w:val="22"/>
          <w:szCs w:val="22"/>
        </w:rPr>
        <w:t>1. ΑΙΤΗΣΗ</w:t>
      </w:r>
    </w:p>
    <w:p w14:paraId="7B4532A6" w14:textId="77777777" w:rsidR="00C65BFB" w:rsidRPr="00C65BFB" w:rsidRDefault="00C65BFB" w:rsidP="00C65BFB">
      <w:pPr>
        <w:pStyle w:val="a3"/>
        <w:tabs>
          <w:tab w:val="clear" w:pos="4153"/>
          <w:tab w:val="clear" w:pos="8306"/>
        </w:tabs>
        <w:ind w:left="-1080"/>
        <w:jc w:val="both"/>
        <w:rPr>
          <w:rFonts w:ascii="Tahoma" w:hAnsi="Tahoma" w:cs="Tahoma"/>
          <w:b/>
          <w:sz w:val="22"/>
          <w:szCs w:val="22"/>
        </w:rPr>
      </w:pPr>
    </w:p>
    <w:p w14:paraId="28B50723" w14:textId="77777777" w:rsidR="00C65BFB" w:rsidRPr="00C65BFB" w:rsidRDefault="00C65BFB" w:rsidP="00C65BFB">
      <w:pPr>
        <w:pStyle w:val="a3"/>
        <w:tabs>
          <w:tab w:val="clear" w:pos="4153"/>
          <w:tab w:val="clear" w:pos="8306"/>
        </w:tabs>
        <w:ind w:left="-1080"/>
        <w:jc w:val="both"/>
        <w:rPr>
          <w:rFonts w:ascii="Tahoma" w:hAnsi="Tahoma" w:cs="Tahoma"/>
          <w:sz w:val="22"/>
          <w:szCs w:val="22"/>
        </w:rPr>
      </w:pPr>
      <w:r w:rsidRPr="007B0713">
        <w:rPr>
          <w:rFonts w:ascii="Tahoma" w:hAnsi="Tahoma" w:cs="Tahoma"/>
          <w:b/>
          <w:sz w:val="22"/>
          <w:szCs w:val="22"/>
        </w:rPr>
        <w:t xml:space="preserve">2. ΑΣΤΥΝΟΜΙΚΗ ΤΑΥΤΟΤΗΤΑ </w:t>
      </w:r>
      <w:r w:rsidRPr="007B0713">
        <w:rPr>
          <w:rFonts w:ascii="Tahoma" w:hAnsi="Tahoma" w:cs="Tahoma"/>
          <w:sz w:val="22"/>
          <w:szCs w:val="22"/>
        </w:rPr>
        <w:t>ή διαβατήριο</w:t>
      </w:r>
    </w:p>
    <w:p w14:paraId="43DF94DE" w14:textId="77777777" w:rsidR="00C65BFB" w:rsidRPr="00C65BFB" w:rsidRDefault="00C65BFB" w:rsidP="00C65BFB">
      <w:pPr>
        <w:pStyle w:val="a3"/>
        <w:tabs>
          <w:tab w:val="clear" w:pos="4153"/>
          <w:tab w:val="clear" w:pos="8306"/>
        </w:tabs>
        <w:ind w:left="-1080"/>
        <w:jc w:val="both"/>
        <w:rPr>
          <w:rFonts w:ascii="Tahoma" w:hAnsi="Tahoma" w:cs="Tahoma"/>
          <w:b/>
          <w:sz w:val="22"/>
          <w:szCs w:val="22"/>
        </w:rPr>
      </w:pPr>
    </w:p>
    <w:p w14:paraId="1B34BACC" w14:textId="77777777" w:rsidR="00C65BFB" w:rsidRPr="00C65BFB" w:rsidRDefault="00C65BFB" w:rsidP="00C65BFB">
      <w:pPr>
        <w:pStyle w:val="a3"/>
        <w:tabs>
          <w:tab w:val="clear" w:pos="4153"/>
          <w:tab w:val="clear" w:pos="8306"/>
        </w:tabs>
        <w:ind w:right="-514"/>
        <w:jc w:val="both"/>
        <w:rPr>
          <w:rFonts w:ascii="Tahoma" w:hAnsi="Tahoma" w:cs="Tahoma"/>
          <w:sz w:val="22"/>
          <w:szCs w:val="22"/>
        </w:rPr>
      </w:pPr>
    </w:p>
    <w:p w14:paraId="50EEF5B5" w14:textId="211EA9E2" w:rsidR="00C65BFB" w:rsidRPr="00AC597F" w:rsidRDefault="00C65BFB" w:rsidP="00C65BFB">
      <w:pPr>
        <w:pStyle w:val="a3"/>
        <w:tabs>
          <w:tab w:val="clear" w:pos="4153"/>
          <w:tab w:val="clear" w:pos="8306"/>
        </w:tabs>
        <w:ind w:left="-1080" w:right="-514"/>
        <w:jc w:val="both"/>
        <w:rPr>
          <w:rFonts w:ascii="Tahoma" w:hAnsi="Tahoma" w:cs="Tahoma"/>
          <w:sz w:val="22"/>
          <w:szCs w:val="22"/>
        </w:rPr>
      </w:pPr>
      <w:r>
        <w:rPr>
          <w:rFonts w:ascii="Tahoma" w:hAnsi="Tahoma" w:cs="Tahoma"/>
          <w:b/>
          <w:sz w:val="22"/>
          <w:szCs w:val="22"/>
        </w:rPr>
        <w:t>3</w:t>
      </w:r>
      <w:r>
        <w:rPr>
          <w:rFonts w:ascii="Tahoma" w:hAnsi="Tahoma" w:cs="Tahoma"/>
          <w:b/>
          <w:sz w:val="22"/>
          <w:szCs w:val="22"/>
        </w:rPr>
        <w:t xml:space="preserve">. ΥΠΕΥΘΥΝΗ ΔΗΛΩΣΗ  </w:t>
      </w:r>
      <w:r>
        <w:rPr>
          <w:rFonts w:ascii="Tahoma" w:hAnsi="Tahoma" w:cs="Tahoma"/>
          <w:sz w:val="22"/>
          <w:szCs w:val="22"/>
        </w:rPr>
        <w:t xml:space="preserve">που να βεβαιώνει α) ότι </w:t>
      </w:r>
      <w:r w:rsidRPr="0078628C">
        <w:rPr>
          <w:rFonts w:ascii="Tahoma" w:hAnsi="Tahoma" w:cs="Tahoma"/>
          <w:sz w:val="22"/>
          <w:szCs w:val="22"/>
        </w:rPr>
        <w:t>δεν έχει κατατεθεί σε βάρος του αίτηση για πτώχευση και αναγκαστική διαχείριση και ότι δεν έχει πτωχεύσει ούτε έχει τεθεί σε αναγκαστική διαχείριση ή αν έχει πτωχεύσει, ότι έχει αποκατασταθεί  β) να βεβαιώνει ότι δεν έχει υποβληθεί σε στερητική ή επικουρική δικαστική συμπαράσταση</w:t>
      </w:r>
      <w:r>
        <w:rPr>
          <w:rFonts w:ascii="Tahoma" w:hAnsi="Tahoma" w:cs="Tahoma"/>
          <w:sz w:val="22"/>
          <w:szCs w:val="22"/>
        </w:rPr>
        <w:t xml:space="preserve"> και γ)«Δεν είμαι δημόσιος, δημοτικός, κοινοτικός υπάλληλος, υπάλληλος Ν.Π.Δ.Δ., ή υπάλληλος του ευρύτερου Δημοσίου Τομέα ή υπάλληλος ασφαλιστικής ή </w:t>
      </w:r>
      <w:proofErr w:type="spellStart"/>
      <w:r>
        <w:rPr>
          <w:rFonts w:ascii="Tahoma" w:hAnsi="Tahoma" w:cs="Tahoma"/>
          <w:sz w:val="22"/>
          <w:szCs w:val="22"/>
        </w:rPr>
        <w:t>αντασφαλιστικής</w:t>
      </w:r>
      <w:proofErr w:type="spellEnd"/>
      <w:r>
        <w:rPr>
          <w:rFonts w:ascii="Tahoma" w:hAnsi="Tahoma" w:cs="Tahoma"/>
          <w:sz w:val="22"/>
          <w:szCs w:val="22"/>
        </w:rPr>
        <w:t xml:space="preserve"> επιχείρησης ή Γενικός Διευθυντής ή Διευθυντής ή εκπρόσωπος ημεδαπής ή αλλοδαπής ασφαλιστικής επιχείρησης, ή μεσίτης ασφαλίσεων και αντασφαλίσεων».</w:t>
      </w:r>
    </w:p>
    <w:p w14:paraId="7A54F32C" w14:textId="77777777" w:rsidR="00C65BFB" w:rsidRPr="00AC597F" w:rsidRDefault="00C65BFB" w:rsidP="00C65BFB">
      <w:pPr>
        <w:pStyle w:val="a3"/>
        <w:tabs>
          <w:tab w:val="clear" w:pos="4153"/>
          <w:tab w:val="clear" w:pos="8306"/>
        </w:tabs>
        <w:ind w:left="-1080" w:right="-514"/>
        <w:jc w:val="both"/>
        <w:rPr>
          <w:rFonts w:ascii="Tahoma" w:hAnsi="Tahoma" w:cs="Tahoma"/>
          <w:sz w:val="22"/>
          <w:szCs w:val="22"/>
        </w:rPr>
      </w:pPr>
      <w:r>
        <w:rPr>
          <w:rFonts w:ascii="Tahoma" w:hAnsi="Tahoma" w:cs="Tahoma"/>
          <w:sz w:val="22"/>
          <w:szCs w:val="22"/>
        </w:rPr>
        <w:t xml:space="preserve">(Επισυνάπτεται) </w:t>
      </w:r>
    </w:p>
    <w:p w14:paraId="2801D7B2" w14:textId="77777777" w:rsidR="00C65BFB" w:rsidRPr="0078628C" w:rsidRDefault="00C65BFB" w:rsidP="00C65BFB">
      <w:pPr>
        <w:pStyle w:val="a3"/>
        <w:tabs>
          <w:tab w:val="clear" w:pos="4153"/>
          <w:tab w:val="clear" w:pos="8306"/>
        </w:tabs>
        <w:ind w:left="-1080" w:right="-514"/>
        <w:jc w:val="both"/>
        <w:rPr>
          <w:rFonts w:ascii="Tahoma" w:hAnsi="Tahoma" w:cs="Tahoma"/>
          <w:sz w:val="22"/>
          <w:szCs w:val="22"/>
        </w:rPr>
      </w:pPr>
    </w:p>
    <w:p w14:paraId="69BC931D" w14:textId="77777777" w:rsidR="00C65BFB" w:rsidRPr="0078628C" w:rsidRDefault="00C65BFB" w:rsidP="00C65BFB">
      <w:pPr>
        <w:pStyle w:val="a3"/>
        <w:tabs>
          <w:tab w:val="clear" w:pos="4153"/>
          <w:tab w:val="clear" w:pos="8306"/>
        </w:tabs>
        <w:ind w:left="-1080" w:right="-514"/>
        <w:jc w:val="both"/>
        <w:rPr>
          <w:rFonts w:ascii="Tahoma" w:hAnsi="Tahoma" w:cs="Tahoma"/>
          <w:sz w:val="22"/>
          <w:szCs w:val="22"/>
        </w:rPr>
      </w:pPr>
    </w:p>
    <w:p w14:paraId="0264BC5F" w14:textId="22A45853" w:rsidR="00C65BFB" w:rsidRDefault="00C65BFB" w:rsidP="00C65BFB">
      <w:pPr>
        <w:pStyle w:val="a3"/>
        <w:tabs>
          <w:tab w:val="clear" w:pos="4153"/>
          <w:tab w:val="clear" w:pos="8306"/>
        </w:tabs>
        <w:ind w:left="-1080" w:right="-514"/>
        <w:jc w:val="both"/>
        <w:rPr>
          <w:rFonts w:ascii="Tahoma" w:hAnsi="Tahoma" w:cs="Tahoma"/>
          <w:sz w:val="22"/>
          <w:szCs w:val="22"/>
        </w:rPr>
      </w:pPr>
      <w:r>
        <w:rPr>
          <w:rFonts w:ascii="Tahoma" w:hAnsi="Tahoma" w:cs="Tahoma"/>
          <w:b/>
          <w:sz w:val="22"/>
          <w:szCs w:val="22"/>
        </w:rPr>
        <w:t>4</w:t>
      </w:r>
      <w:r>
        <w:rPr>
          <w:rFonts w:ascii="Tahoma" w:hAnsi="Tahoma" w:cs="Tahoma"/>
          <w:b/>
          <w:sz w:val="22"/>
          <w:szCs w:val="22"/>
        </w:rPr>
        <w:t xml:space="preserve">. ΒΕΒΑΙΩΣΗ ΑΣΦΑΛΙΣΗΣ ΕΠΑΓΓΕΛΜΑΤΙΚΗΣ ΑΣΤΙΚΗΣ ΕΥΘΥΝΗΣ </w:t>
      </w:r>
      <w:r>
        <w:rPr>
          <w:rFonts w:ascii="Tahoma" w:hAnsi="Tahoma" w:cs="Tahoma"/>
          <w:sz w:val="22"/>
          <w:szCs w:val="22"/>
        </w:rPr>
        <w:t xml:space="preserve">η οποία να καλύπτει το σύνολο του εδάφους της Ευρωπαϊκής Ένωσης ή οποιαδήποτε άλλη ανάλογη εγγύηση της αστικής ευθύνης που προκύπτει από επαγγελματική αμέλεια, για ποσό τουλάχιστον ενός εκατομμυρίου διακοσίων πενήντα χιλιάδων εξακοσίων δεκαοκτώ (1.250.618) ευρώ ανά απαίτηση και τουλάχιστον ενός εκατομμυρίου οκτακοσίων εβδομήντα πέντε χιλιάδων εννιακοσίων είκοσι επτά (1.875.927) ευρώ συνολικά </w:t>
      </w:r>
      <w:proofErr w:type="spellStart"/>
      <w:r>
        <w:rPr>
          <w:rFonts w:ascii="Tahoma" w:hAnsi="Tahoma" w:cs="Tahoma"/>
          <w:sz w:val="22"/>
          <w:szCs w:val="22"/>
        </w:rPr>
        <w:t>κατ΄έτος</w:t>
      </w:r>
      <w:proofErr w:type="spellEnd"/>
      <w:r>
        <w:rPr>
          <w:rFonts w:ascii="Tahoma" w:hAnsi="Tahoma" w:cs="Tahoma"/>
          <w:sz w:val="22"/>
          <w:szCs w:val="22"/>
        </w:rPr>
        <w:t xml:space="preserve"> για όλες τις απαιτήσεις, εκτός αν ο ασφαλιστικός ή </w:t>
      </w:r>
      <w:proofErr w:type="spellStart"/>
      <w:r>
        <w:rPr>
          <w:rFonts w:ascii="Tahoma" w:hAnsi="Tahoma" w:cs="Tahoma"/>
          <w:sz w:val="22"/>
          <w:szCs w:val="22"/>
        </w:rPr>
        <w:t>αντασφαλιστικός</w:t>
      </w:r>
      <w:proofErr w:type="spellEnd"/>
      <w:r>
        <w:rPr>
          <w:rFonts w:ascii="Tahoma" w:hAnsi="Tahoma" w:cs="Tahoma"/>
          <w:sz w:val="22"/>
          <w:szCs w:val="22"/>
        </w:rPr>
        <w:t xml:space="preserve"> διαμεσολαβητής, πλην του μεσίτη, προσκομίσει βεβαίωση της ασφαλιστικής επιχείρησης επ’ </w:t>
      </w:r>
      <w:proofErr w:type="spellStart"/>
      <w:r>
        <w:rPr>
          <w:rFonts w:ascii="Tahoma" w:hAnsi="Tahoma" w:cs="Tahoma"/>
          <w:sz w:val="22"/>
          <w:szCs w:val="22"/>
        </w:rPr>
        <w:t>ονόματι</w:t>
      </w:r>
      <w:proofErr w:type="spellEnd"/>
      <w:r>
        <w:rPr>
          <w:rFonts w:ascii="Tahoma" w:hAnsi="Tahoma" w:cs="Tahoma"/>
          <w:sz w:val="22"/>
          <w:szCs w:val="22"/>
        </w:rPr>
        <w:t xml:space="preserve"> της οποίας ενεργεί ή από την οποία έχει εξουσιοδοτηθεί να ενεργεί, από την οποία να προκύπτει ότι η εν λόγω ασφαλιστική επιχείρηση έχει αναλάβει πλήρως την επαγγελματική αστική ευθύνη για τις ενέργειες του. Τα ανωτέρω ποσά αναπροσαρμόζονται, με απόφαση της εποπτικής αρχής, σε περίπτωση αναθεώρησής τους από την Ε.Α.Α.Ε.Σ.. Το μέγιστο ποσό απαλλαγής από την ασφαλιστική κάλυψη του πρώτου εδαφίου, εφόσον προβλέπεται στη σύμβαση, δεν μπορεί να ξεπερνά αυτό των δεκαοκτώ χιλιάδων επτακοσίων εξήντα (18.760) ευρώ.</w:t>
      </w:r>
    </w:p>
    <w:p w14:paraId="05095FA4" w14:textId="77777777" w:rsidR="00C65BFB" w:rsidRPr="00AC597F" w:rsidRDefault="00C65BFB" w:rsidP="00C65BFB">
      <w:pPr>
        <w:pStyle w:val="a3"/>
        <w:tabs>
          <w:tab w:val="clear" w:pos="4153"/>
          <w:tab w:val="clear" w:pos="8306"/>
        </w:tabs>
        <w:ind w:left="-1080" w:right="-514"/>
        <w:jc w:val="both"/>
        <w:rPr>
          <w:rFonts w:ascii="Tahoma" w:hAnsi="Tahoma" w:cs="Tahoma"/>
          <w:sz w:val="22"/>
          <w:szCs w:val="22"/>
        </w:rPr>
      </w:pPr>
    </w:p>
    <w:p w14:paraId="53A6C662" w14:textId="77777777" w:rsidR="00C65BFB" w:rsidRDefault="00C65BFB" w:rsidP="00C65BFB">
      <w:pPr>
        <w:pStyle w:val="a3"/>
        <w:tabs>
          <w:tab w:val="clear" w:pos="4153"/>
          <w:tab w:val="clear" w:pos="8306"/>
        </w:tabs>
        <w:ind w:left="-1080" w:right="-514"/>
        <w:jc w:val="both"/>
        <w:rPr>
          <w:rFonts w:ascii="Tahoma" w:hAnsi="Tahoma" w:cs="Tahoma"/>
          <w:sz w:val="22"/>
          <w:szCs w:val="22"/>
        </w:rPr>
      </w:pPr>
    </w:p>
    <w:p w14:paraId="40157318" w14:textId="77777777" w:rsidR="00C65BFB" w:rsidRPr="00013F84" w:rsidRDefault="00C65BFB" w:rsidP="00C65BFB">
      <w:pPr>
        <w:pStyle w:val="a3"/>
        <w:tabs>
          <w:tab w:val="clear" w:pos="4153"/>
          <w:tab w:val="clear" w:pos="8306"/>
        </w:tabs>
        <w:ind w:left="-1080" w:right="-514"/>
        <w:jc w:val="both"/>
        <w:rPr>
          <w:rFonts w:ascii="Tahoma" w:hAnsi="Tahoma" w:cs="Tahoma"/>
          <w:sz w:val="22"/>
          <w:szCs w:val="22"/>
          <w:u w:val="single"/>
        </w:rPr>
      </w:pPr>
      <w:r w:rsidRPr="00013F84">
        <w:rPr>
          <w:rFonts w:ascii="Tahoma" w:hAnsi="Tahoma" w:cs="Tahoma"/>
          <w:sz w:val="22"/>
          <w:szCs w:val="22"/>
          <w:u w:val="single"/>
        </w:rPr>
        <w:t>Σημειώνεται ότι</w:t>
      </w:r>
    </w:p>
    <w:p w14:paraId="11ED433A" w14:textId="77777777" w:rsidR="00C65BFB" w:rsidRDefault="00C65BFB" w:rsidP="00C65BFB">
      <w:pPr>
        <w:pStyle w:val="a3"/>
        <w:tabs>
          <w:tab w:val="clear" w:pos="4153"/>
          <w:tab w:val="clear" w:pos="8306"/>
        </w:tabs>
        <w:ind w:left="-1080" w:right="-514"/>
        <w:jc w:val="both"/>
        <w:rPr>
          <w:rFonts w:ascii="Tahoma" w:hAnsi="Tahoma" w:cs="Tahoma"/>
          <w:sz w:val="22"/>
          <w:szCs w:val="22"/>
        </w:rPr>
      </w:pPr>
    </w:p>
    <w:p w14:paraId="5638C3F0" w14:textId="77777777" w:rsidR="00C65BFB" w:rsidRDefault="00C65BFB" w:rsidP="00C65BFB">
      <w:pPr>
        <w:pStyle w:val="a3"/>
        <w:numPr>
          <w:ilvl w:val="0"/>
          <w:numId w:val="1"/>
        </w:numPr>
        <w:tabs>
          <w:tab w:val="clear" w:pos="4153"/>
          <w:tab w:val="clear" w:pos="8306"/>
        </w:tabs>
        <w:ind w:right="-514"/>
        <w:jc w:val="both"/>
        <w:rPr>
          <w:rFonts w:ascii="Tahoma" w:hAnsi="Tahoma" w:cs="Tahoma"/>
          <w:sz w:val="22"/>
          <w:szCs w:val="22"/>
        </w:rPr>
      </w:pPr>
      <w:r>
        <w:rPr>
          <w:rFonts w:ascii="Tahoma" w:hAnsi="Tahoma" w:cs="Tahoma"/>
          <w:sz w:val="22"/>
          <w:szCs w:val="22"/>
        </w:rPr>
        <w:t xml:space="preserve">Το </w:t>
      </w:r>
      <w:r w:rsidRPr="009067BA">
        <w:rPr>
          <w:rFonts w:ascii="Tahoma" w:hAnsi="Tahoma" w:cs="Tahoma"/>
          <w:b/>
          <w:sz w:val="22"/>
          <w:szCs w:val="22"/>
          <w:u w:val="single"/>
        </w:rPr>
        <w:t>πιστοποιητικό ποινικού μητρώου γενικής χρήσης</w:t>
      </w:r>
      <w:r>
        <w:rPr>
          <w:rFonts w:ascii="Tahoma" w:hAnsi="Tahoma" w:cs="Tahoma"/>
          <w:sz w:val="22"/>
          <w:szCs w:val="22"/>
        </w:rPr>
        <w:t xml:space="preserve"> αναζητείται αυτεπάγγελτα και ανανεώνεται κάθε δύο έτη με επιμέλεια του αρμοδίου επιμελητηρίου, από το οποίο προκύπτει ότι δεν έχει καταδικασθεί για έγκλημα κατά της περιουσίας ή σχετιζόμενο με χρηματοπιστωτικές δραστηριότητες και ειδικότερα για τοκογλυφία, αισχροκέρδεια, απάτη, απιστία,</w:t>
      </w:r>
      <w:r w:rsidRPr="00A272E8">
        <w:rPr>
          <w:rFonts w:ascii="Tahoma" w:hAnsi="Tahoma" w:cs="Tahoma"/>
          <w:sz w:val="22"/>
          <w:szCs w:val="22"/>
        </w:rPr>
        <w:t xml:space="preserve"> </w:t>
      </w:r>
      <w:r>
        <w:rPr>
          <w:rFonts w:ascii="Tahoma" w:hAnsi="Tahoma" w:cs="Tahoma"/>
          <w:sz w:val="22"/>
          <w:szCs w:val="22"/>
        </w:rPr>
        <w:t>δωροδοκία,</w:t>
      </w:r>
      <w:r w:rsidRPr="00A272E8">
        <w:rPr>
          <w:rFonts w:ascii="Tahoma" w:hAnsi="Tahoma" w:cs="Tahoma"/>
          <w:sz w:val="22"/>
          <w:szCs w:val="22"/>
        </w:rPr>
        <w:t xml:space="preserve"> </w:t>
      </w:r>
      <w:r>
        <w:rPr>
          <w:rFonts w:ascii="Tahoma" w:hAnsi="Tahoma" w:cs="Tahoma"/>
          <w:sz w:val="22"/>
          <w:szCs w:val="22"/>
        </w:rPr>
        <w:t>δόλια χρεοκοπία, εκβίαση, κλοπή, λαθρεμπορία, πλαστογραφία, υπεξαίρεση, καταδολίευση δανειστών, έκδοση ακάλυπτων επιταγών, νομιμοποίηση εσόδων από παράνομες δραστηριότητες και σύσταση εγκληματικής οργάνωσης.</w:t>
      </w:r>
    </w:p>
    <w:p w14:paraId="5AC1AD0C" w14:textId="77777777" w:rsidR="00C65BFB" w:rsidRDefault="00C65BFB" w:rsidP="00C65BFB">
      <w:pPr>
        <w:pStyle w:val="a3"/>
        <w:tabs>
          <w:tab w:val="clear" w:pos="4153"/>
          <w:tab w:val="clear" w:pos="8306"/>
        </w:tabs>
        <w:ind w:left="-1080" w:right="-514"/>
        <w:jc w:val="both"/>
        <w:rPr>
          <w:rFonts w:ascii="Tahoma" w:hAnsi="Tahoma" w:cs="Tahoma"/>
          <w:sz w:val="22"/>
          <w:szCs w:val="22"/>
        </w:rPr>
      </w:pPr>
    </w:p>
    <w:p w14:paraId="53187D8D" w14:textId="77777777" w:rsidR="00C65BFB" w:rsidRDefault="00C65BFB" w:rsidP="00C65BFB">
      <w:pPr>
        <w:pStyle w:val="a3"/>
        <w:numPr>
          <w:ilvl w:val="0"/>
          <w:numId w:val="1"/>
        </w:numPr>
        <w:tabs>
          <w:tab w:val="clear" w:pos="4153"/>
          <w:tab w:val="clear" w:pos="8306"/>
        </w:tabs>
        <w:ind w:right="-514"/>
        <w:jc w:val="both"/>
        <w:rPr>
          <w:rFonts w:ascii="Tahoma" w:hAnsi="Tahoma" w:cs="Tahoma"/>
          <w:sz w:val="22"/>
          <w:szCs w:val="22"/>
        </w:rPr>
      </w:pPr>
      <w:r>
        <w:rPr>
          <w:rFonts w:ascii="Tahoma" w:hAnsi="Tahoma" w:cs="Tahoma"/>
          <w:sz w:val="22"/>
          <w:szCs w:val="22"/>
        </w:rPr>
        <w:t xml:space="preserve">Τα πρόσωπα που ασκούν ασφαλιστική διαμεσολάβηση υποχρεούνται σε </w:t>
      </w:r>
      <w:r w:rsidRPr="006F4367">
        <w:rPr>
          <w:rFonts w:ascii="Tahoma" w:hAnsi="Tahoma" w:cs="Tahoma"/>
          <w:b/>
          <w:sz w:val="22"/>
          <w:szCs w:val="22"/>
          <w:u w:val="single"/>
        </w:rPr>
        <w:t>επαγγελματική εκπαίδευση</w:t>
      </w:r>
      <w:r>
        <w:rPr>
          <w:rFonts w:ascii="Tahoma" w:hAnsi="Tahoma" w:cs="Tahoma"/>
          <w:sz w:val="22"/>
          <w:szCs w:val="22"/>
        </w:rPr>
        <w:t xml:space="preserve"> διάρκειας τουλάχιστον 15 ωρών κατ’ έτος (άρθρο 20 παρ. 2 &amp; 3, 23 παρ. 1 εδαφ.3 &amp; άρθρο 48 παρ.5 Ν.4583/2018). </w:t>
      </w:r>
      <w:r w:rsidRPr="00690E55">
        <w:rPr>
          <w:rFonts w:ascii="Tahoma" w:hAnsi="Tahoma" w:cs="Tahoma"/>
          <w:sz w:val="22"/>
          <w:szCs w:val="22"/>
          <w:u w:val="single"/>
        </w:rPr>
        <w:t xml:space="preserve">Τα πιστοποιητικά αυτά προσκομίζονται στο Επιμελητήριο </w:t>
      </w:r>
      <w:r>
        <w:rPr>
          <w:rFonts w:ascii="Tahoma" w:hAnsi="Tahoma" w:cs="Tahoma"/>
          <w:sz w:val="22"/>
          <w:szCs w:val="22"/>
          <w:u w:val="single"/>
        </w:rPr>
        <w:t>Χίου</w:t>
      </w:r>
      <w:r w:rsidRPr="00690E55">
        <w:rPr>
          <w:rFonts w:ascii="Tahoma" w:hAnsi="Tahoma" w:cs="Tahoma"/>
          <w:sz w:val="22"/>
          <w:szCs w:val="22"/>
          <w:u w:val="single"/>
        </w:rPr>
        <w:t xml:space="preserve"> εντός του πρώτου τριμήνου του έτους που έπεται εκείνου της διενέργειας των σχετικών σεμιναρίων (άρθρο 23, παρ. 1 Ν. 4583/2018).</w:t>
      </w:r>
    </w:p>
    <w:p w14:paraId="6D955C0B" w14:textId="77777777" w:rsidR="00C65BFB" w:rsidRDefault="00C65BFB" w:rsidP="00C65BFB">
      <w:pPr>
        <w:pStyle w:val="a5"/>
        <w:rPr>
          <w:rFonts w:ascii="Tahoma" w:hAnsi="Tahoma" w:cs="Tahoma"/>
          <w:b/>
          <w:sz w:val="22"/>
          <w:szCs w:val="22"/>
          <w:u w:val="single"/>
        </w:rPr>
      </w:pPr>
    </w:p>
    <w:p w14:paraId="15F8F953" w14:textId="77777777" w:rsidR="00C65BFB" w:rsidRPr="00B90D5F" w:rsidRDefault="00C65BFB" w:rsidP="00C65BFB">
      <w:pPr>
        <w:pStyle w:val="a3"/>
        <w:numPr>
          <w:ilvl w:val="0"/>
          <w:numId w:val="1"/>
        </w:numPr>
        <w:tabs>
          <w:tab w:val="clear" w:pos="4153"/>
          <w:tab w:val="clear" w:pos="8306"/>
        </w:tabs>
        <w:ind w:right="-514"/>
        <w:jc w:val="both"/>
        <w:rPr>
          <w:rFonts w:ascii="Tahoma" w:hAnsi="Tahoma" w:cs="Tahoma"/>
          <w:sz w:val="22"/>
          <w:szCs w:val="22"/>
        </w:rPr>
      </w:pPr>
      <w:r w:rsidRPr="00B90D5F">
        <w:rPr>
          <w:rFonts w:ascii="Tahoma" w:hAnsi="Tahoma" w:cs="Tahoma"/>
          <w:b/>
          <w:sz w:val="22"/>
          <w:szCs w:val="22"/>
        </w:rPr>
        <w:lastRenderedPageBreak/>
        <w:t>Η βεβαίωση ασφάλισης της επαγγελματικής αστικής ευθύνης</w:t>
      </w:r>
      <w:r w:rsidRPr="00B90D5F">
        <w:rPr>
          <w:rFonts w:ascii="Tahoma" w:hAnsi="Tahoma" w:cs="Tahoma"/>
          <w:sz w:val="22"/>
          <w:szCs w:val="22"/>
        </w:rPr>
        <w:t xml:space="preserve"> πρέπει να </w:t>
      </w:r>
      <w:r>
        <w:rPr>
          <w:rFonts w:ascii="Tahoma" w:hAnsi="Tahoma" w:cs="Tahoma"/>
          <w:sz w:val="22"/>
          <w:szCs w:val="22"/>
        </w:rPr>
        <w:t xml:space="preserve"> υποβάλλεται στο Επιμελητήριο Χίου </w:t>
      </w:r>
      <w:r w:rsidRPr="00B90D5F">
        <w:rPr>
          <w:rFonts w:ascii="Tahoma" w:hAnsi="Tahoma" w:cs="Tahoma"/>
          <w:sz w:val="22"/>
          <w:szCs w:val="22"/>
        </w:rPr>
        <w:t>ΣΤΟ ΠΡΩΤΟ ΤΡΙΜΗΝΟ ΚΑΘΕ ΕΤΟΥΣ (</w:t>
      </w:r>
      <w:proofErr w:type="spellStart"/>
      <w:r w:rsidRPr="00B90D5F">
        <w:rPr>
          <w:rFonts w:ascii="Tahoma" w:hAnsi="Tahoma" w:cs="Tahoma"/>
          <w:sz w:val="22"/>
          <w:szCs w:val="22"/>
        </w:rPr>
        <w:t>αρ</w:t>
      </w:r>
      <w:r>
        <w:rPr>
          <w:rFonts w:ascii="Tahoma" w:hAnsi="Tahoma" w:cs="Tahoma"/>
          <w:sz w:val="22"/>
          <w:szCs w:val="22"/>
        </w:rPr>
        <w:t>θρο</w:t>
      </w:r>
      <w:proofErr w:type="spellEnd"/>
      <w:r>
        <w:rPr>
          <w:rFonts w:ascii="Tahoma" w:hAnsi="Tahoma" w:cs="Tahoma"/>
          <w:sz w:val="22"/>
          <w:szCs w:val="22"/>
        </w:rPr>
        <w:t xml:space="preserve"> </w:t>
      </w:r>
      <w:r w:rsidRPr="00B90D5F">
        <w:rPr>
          <w:rFonts w:ascii="Tahoma" w:hAnsi="Tahoma" w:cs="Tahoma"/>
          <w:sz w:val="22"/>
          <w:szCs w:val="22"/>
        </w:rPr>
        <w:t>23 παρ.1 Ν.4583/2018).</w:t>
      </w:r>
    </w:p>
    <w:p w14:paraId="0B81AB37" w14:textId="77777777" w:rsidR="00C65BFB" w:rsidRDefault="00C65BFB" w:rsidP="00C65BFB">
      <w:pPr>
        <w:rPr>
          <w:sz w:val="28"/>
          <w:szCs w:val="28"/>
        </w:rPr>
      </w:pPr>
    </w:p>
    <w:p w14:paraId="5E327524" w14:textId="77777777" w:rsidR="00501F9E" w:rsidRDefault="00501F9E"/>
    <w:sectPr w:rsidR="00501F9E">
      <w:footerReference w:type="even" r:id="rId5"/>
      <w:footerReference w:type="default" r:id="rId6"/>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0A17" w14:textId="77777777" w:rsidR="00780820" w:rsidRDefault="00C65B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599D52B" w14:textId="77777777" w:rsidR="00780820" w:rsidRDefault="00C65BF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54A7" w14:textId="77777777" w:rsidR="00780820" w:rsidRDefault="00C65B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instrText xml:space="preserve"> </w:instrText>
    </w:r>
    <w:r>
      <w:rPr>
        <w:rStyle w:val="a4"/>
      </w:rPr>
      <w:fldChar w:fldCharType="separate"/>
    </w:r>
    <w:r>
      <w:rPr>
        <w:rStyle w:val="a4"/>
        <w:noProof/>
      </w:rPr>
      <w:t>2</w:t>
    </w:r>
    <w:r>
      <w:rPr>
        <w:rStyle w:val="a4"/>
      </w:rPr>
      <w:fldChar w:fldCharType="end"/>
    </w:r>
  </w:p>
  <w:p w14:paraId="71EB4EDA" w14:textId="77777777" w:rsidR="00780820" w:rsidRDefault="00C65BFB">
    <w:pPr>
      <w:pStyle w:val="a3"/>
      <w:ind w:right="360"/>
    </w:pPr>
    <w:r>
      <w:tab/>
      <w:t xml:space="preserve">- </w:t>
    </w:r>
    <w:r>
      <w:fldChar w:fldCharType="begin"/>
    </w:r>
    <w:r>
      <w:instrText xml:space="preserve"> PAGE </w:instrText>
    </w:r>
    <w:r>
      <w:fldChar w:fldCharType="separate"/>
    </w:r>
    <w:r>
      <w:rPr>
        <w:noProof/>
      </w:rPr>
      <w:t>2</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C58C4"/>
    <w:multiLevelType w:val="hybridMultilevel"/>
    <w:tmpl w:val="4A4A8AB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FB"/>
    <w:rsid w:val="00501F9E"/>
    <w:rsid w:val="00C65B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0479"/>
  <w15:chartTrackingRefBased/>
  <w15:docId w15:val="{DBFE7FE9-9256-4274-91F7-49603EEB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F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65BFB"/>
    <w:pPr>
      <w:tabs>
        <w:tab w:val="center" w:pos="4153"/>
        <w:tab w:val="right" w:pos="8306"/>
      </w:tabs>
    </w:pPr>
  </w:style>
  <w:style w:type="character" w:customStyle="1" w:styleId="Char">
    <w:name w:val="Υποσέλιδο Char"/>
    <w:basedOn w:val="a0"/>
    <w:link w:val="a3"/>
    <w:rsid w:val="00C65BFB"/>
    <w:rPr>
      <w:rFonts w:ascii="Times New Roman" w:eastAsia="Times New Roman" w:hAnsi="Times New Roman" w:cs="Times New Roman"/>
      <w:sz w:val="24"/>
      <w:szCs w:val="24"/>
      <w:lang w:eastAsia="el-GR"/>
    </w:rPr>
  </w:style>
  <w:style w:type="character" w:styleId="a4">
    <w:name w:val="page number"/>
    <w:basedOn w:val="a0"/>
    <w:rsid w:val="00C65BFB"/>
  </w:style>
  <w:style w:type="paragraph" w:styleId="a5">
    <w:name w:val="List Paragraph"/>
    <w:basedOn w:val="a"/>
    <w:uiPriority w:val="34"/>
    <w:qFormat/>
    <w:rsid w:val="00C65BF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2606</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Epimelitirio Chiou</dc:creator>
  <cp:keywords/>
  <dc:description/>
  <cp:lastModifiedBy>Epimelitirio Chiou</cp:lastModifiedBy>
  <cp:revision>1</cp:revision>
  <dcterms:created xsi:type="dcterms:W3CDTF">2022-10-31T12:34:00Z</dcterms:created>
  <dcterms:modified xsi:type="dcterms:W3CDTF">2022-10-31T12:35:00Z</dcterms:modified>
</cp:coreProperties>
</file>